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BV.2020.33 B vom 18. November 2020</w:t>
      </w:r>
    </w:p>
    <w:p>
      <w:r>
        <w:t>Bundesstrafgericht, 2020-11-18, DE</w:t>
      </w:r>
    </w:p>
    <w:p>
      <w:r>
        <w:rPr>
          <w:b/>
        </w:rPr>
        <w:t xml:space="preserve">Quelle: </w:t>
      </w:r>
      <w:r>
        <w:t>https://mcp.opencaselaw.ch/entscheid/bstger_BV.2020.33_B</w:t>
      </w:r>
    </w:p>
    <w:p>
      <w:r>
        <w:t>FR: TPF BV.2020.33 B du 18 novembre 2020</w:t>
      </w:r>
    </w:p>
    <w:p>
      <w:r>
        <w:t>IT: TPF BV.2020.33 B del 18 novembre 2020</w:t>
      </w:r>
    </w:p>
    <w:p>
      <w:pPr>
        <w:pStyle w:val="Heading2"/>
      </w:pPr>
      <w:r>
        <w:t>Regeste</w:t>
      </w:r>
    </w:p>
    <w:p>
      <w:r>
        <w:t>Sequestro (art. 46 DPA).</w:t>
      </w:r>
    </w:p>
    <w:p>
      <w:pPr>
        <w:pStyle w:val="Heading2"/>
      </w:pPr>
      <w:r>
        <w:t>Volltext</w:t>
      </w:r>
    </w:p>
    <w:p>
      <w:r>
        <w:t>Bundesstrafgericht 18.11.2020 BV.2020.33 B Tribunal pénal fédéral 18.11.2020 BV.2020.33 B Tribunale penale federale 18.11.2020 BV.2020.33 B</w:t>
      </w:r>
    </w:p>
    <w:p>
      <w:r>
        <w:t>Sequestro (art. 46 DPA).</w:t>
      </w:r>
    </w:p>
    <w:p>
      <w:r>
        <w:t>Eidgenossenschaft Bundesstrafgericht Conféderation Tribunal pénal fédéral Confederazione Tribunale penale federale Beschwerdekammer: Strafverfahren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