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BV.2020.20 vom 4. August 2020</w:t>
      </w:r>
    </w:p>
    <w:p>
      <w:r>
        <w:t>Bundesstrafgericht, 2020-08-04, FR</w:t>
      </w:r>
    </w:p>
    <w:p>
      <w:r>
        <w:rPr>
          <w:b/>
        </w:rPr>
        <w:t xml:space="preserve">Quelle: </w:t>
      </w:r>
      <w:r>
        <w:t>https://mcp.opencaselaw.ch/entscheid/bstger_BV.2020.20</w:t>
      </w:r>
    </w:p>
    <w:p>
      <w:r>
        <w:t>FR: TPF BV.2020.20 du 4 août 2020</w:t>
      </w:r>
    </w:p>
    <w:p>
      <w:r>
        <w:t>IT: TPF BV.2020.20 del 4 agosto 2020</w:t>
      </w:r>
    </w:p>
    <w:p>
      <w:pPr>
        <w:pStyle w:val="Heading2"/>
      </w:pPr>
      <w:r>
        <w:t>Regeste</w:t>
      </w:r>
    </w:p>
    <w:p>
      <w:r>
        <w:t>Séquestre (art. 46 DPA); Retrait de la plainte.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 LTD,</w:t>
      </w:r>
    </w:p>
    <w:p>
      <w:r>
        <w:rPr>
          <w:b/>
        </w:rPr>
        <w:t>E. 3</w:t>
      </w:r>
    </w:p>
    <w:p>
      <w:r>
        <w:t>C. LTD,</w:t>
      </w:r>
    </w:p>
    <w:p>
      <w:r>
        <w:t>tous trois représentés par Me Pierre-Alain Guillaume et Anna Pivin, avocats,</w:t>
      </w:r>
    </w:p>
    <w:p>
      <w:r>
        <w:t>plaignants</w:t>
      </w:r>
    </w:p>
    <w:p>
      <w:r>
        <w:t>contre</w:t>
      </w:r>
    </w:p>
    <w:p>
      <w:r>
        <w:t>ADMINISTRATION FÉDÉRALE DES CONTRIBUTIONS, Directeur,</w:t>
      </w:r>
    </w:p>
    <w:p>
      <w:r>
        <w:t>partie adverse</w:t>
      </w:r>
    </w:p>
    <w:p>
      <w:r>
        <w:t>Objet</w:t>
      </w:r>
    </w:p>
    <w:p>
      <w:r>
        <w:t>Séquestre (art. 46 DPA)</w:t>
      </w:r>
    </w:p>
    <w:p>
      <w:r>
        <w:t>Retrait de la plainte B u n d e s s t r a f g e r i c h t T r i b u n a l p é n a l f é d é r a l T r i b u n a l e p e n a l e f e d e r a l e T r i b u n a l p e n a l f e d e r a l</w:t>
      </w:r>
    </w:p>
    <w:p>
      <w:r>
        <w:t>Numéros de dossiers: BV.2020.20-22</w:t>
      </w:r>
    </w:p>
    <w:p>
      <w:r>
        <w:t>- 2 -</w:t>
      </w:r>
    </w:p>
    <w:p>
      <w:r>
        <w:t>La Cour des plaintes, vu:</w:t>
      </w:r>
    </w:p>
    <w:p>
      <w:r>
        <w:t>- l’enquête menée par l’Administration fédérale des contributions (ci-après: AFC) depuis le 13 mars 2017 à l’encontre de A. et des sociétés B. Ltd et C. Ltd (ci-après: les plaignants), en raison de soupçons fondés de graves infractions fiscales (act. 2.1),</w:t>
      </w:r>
    </w:p>
    <w:p>
      <w:r>
        <w:t>- les séquestres ordonnés par l’AFC les 19 avril et le 5 mai 2017 sur différents avoirs et valeurs des plaignants (act. 2.3 à 2.8),</w:t>
      </w:r>
    </w:p>
    <w:p>
      <w:r>
        <w:t>- la requête de levée partielle des séquestres des plaignants du 6 mai 2020 (act. 1.2),</w:t>
      </w:r>
    </w:p>
    <w:p>
      <w:r>
        <w:t>- le refus du 13 mai 2020 de l’enquêteur en charge d’accéder à la requête des plaignants (act. 1.3),</w:t>
      </w:r>
    </w:p>
    <w:p>
      <w:r>
        <w:t>- la plainte du 18 mai 2020 adressée par les plaignants à l’AFC, contre le refus de levée partielle des séquestres (act. 1),</w:t>
      </w:r>
    </w:p>
    <w:p>
      <w:r>
        <w:t>- les observations de l’AFC du 26 mai 2020 sur la plainte du 18 mai 2020, concluant à son rejet, et transmettant celle-ci à la Cour de céans avec dites observations (act. 2),</w:t>
      </w:r>
    </w:p>
    <w:p>
      <w:r>
        <w:t>- l’avance de frais de CHF 2'000.-- versée par les plaignants le 4 juin 2020 (act. 4),</w:t>
      </w:r>
    </w:p>
    <w:p>
      <w:r>
        <w:t>- la réplique des plaignants du 6 juillet 2020 (act. 8),</w:t>
      </w:r>
    </w:p>
    <w:p>
      <w:r>
        <w:t>- le courrier adressé le 14 juillet 2020 par les plaignants à la Cour de céans, par lequel ceux-ci déclarent retirer leur plainte (act. 10),</w:t>
      </w:r>
    </w:p>
    <w:p>
      <w:r>
        <w:t>- l’invitation du 16 juillet 2020 de la Cour de céans aux parties à prendre position sur le sort des frais (act. 11),</w:t>
      </w:r>
    </w:p>
    <w:p>
      <w:r>
        <w:t>- les déterminations de l’AFC du 22 juillet 2020, concluant que les frais de procédure soient mis à la charge des plaignants (act. 12),</w:t>
      </w:r>
    </w:p>
    <w:p>
      <w:r>
        <w:t>- la correspondance des plaignants du 27 juillet 2020, s’en rapportant à justice au sujet du sort des frais concernant la procédure de plainte, et requérant de la Cour de céans « de bien vouloir renoncer (i) à publier dans la base de données des prononcés et dans le recueil officiel la décision qui sera rendue pour clôturer la procédure, et (ii) à envoyer ladite décision aux journalistes</w:t>
      </w:r>
    </w:p>
    <w:p>
      <w:r>
        <w:t>- 3 -</w:t>
      </w:r>
    </w:p>
    <w:p>
      <w:r>
        <w:t>accrédités. Subsidiairement, ils requièrent respectueusement la Cour des plaintes d’anonymiser la prononcé de manière particulièrement extensive » (act. 13),</w:t>
      </w:r>
    </w:p>
    <w:p>
      <w:r>
        <w:t>et considérant:</w:t>
      </w:r>
    </w:p>
    <w:p>
      <w:r>
        <w:t>que selon l’art. 37 al. 2 let. b de la loi fédérale sur l’organisation des autorités pénales de la Confédération (LOAP; RS 173.71), la Cour des plaintes du Tribunal pénal fédéral est compétente pour statuer sur les plaintes qui lui sont soumises en vertu du DPA;</w:t>
      </w:r>
    </w:p>
    <w:p>
      <w:r>
        <w:t>que la loi fédérale sur le droit pénal administratif instituant la procédure de plainte (art. 26 DPA) ne réglemente pas expressément le retrait de celle-ci, un tel retrait étant toutefois admis au regard de la maxime de disposition, (décisions du Tribunal pénal fédéral BV.2018.16+17 du 7 août 2018; BV.2012.2 du 3 juillet 2012; ZIEGLER/KELLER, Basler Kommentar, 2e éd. 2014, n° 3 ad art. 386 CPP);</w:t>
      </w:r>
    </w:p>
    <w:p>
      <w:r>
        <w:t>que suite au retrait de la plainte, il y a lieu de rayer la cause du rôle;</w:t>
      </w:r>
    </w:p>
    <w:p>
      <w:r>
        <w:t>que la requête de non publication de la décision dans la base de données ainsi que la renonciation de l’envoi de celle-ci aux journalistes accrédités relève de la compétence du Secrétariat général du Tribunal pénal fédéral (art. 6 al. 3 du règlement du 24 janvier 2012 du Tribunal pénal fédéral sur les principes de l’information; RS 173.711.33) auquel la présente requête est transmise (v. décision du Tribunal pénal fédéral BB.2018.64 du 30 octobre 2018 consid. 4);</w:t>
      </w:r>
    </w:p>
    <w:p>
      <w:r>
        <w:t>que conformément à l’art. 25 al. 4 DPA, les frais de la procédure de recours devant la Cour des plaintes se déterminent d’après l’art. 73 LOAP;</w:t>
      </w:r>
    </w:p>
    <w:p>
      <w:r>
        <w:t>que cependant, cette dernière ne règle pas le sort des frais, de sorte qu’il y a lieu d’appliquer par analogie les dispositions relatives à la loi sur le Tribunal fédéral (LTF; RS 173.10), ce qui correspond à la jurisprudence constante (TPF 2011 25 consid. 3; décisions du Tribunal pénal fédéral BV.2019.27 du 29 novembre 2019; BV.2016.1 du 20 mai 2016 consid. 4);</w:t>
      </w:r>
    </w:p>
    <w:p>
      <w:r>
        <w:t>que selon l’art. 66 al. 1, 1ère phrase, LTF, en règle générale, les frais judiciaires sont mis à la charge de la partie qui succombe;</w:t>
      </w:r>
    </w:p>
    <w:p>
      <w:r>
        <w:t>qu’ayant retiré leur plainte, il y a lieu de considérer les plaignants comme</w:t>
      </w:r>
    </w:p>
    <w:p>
      <w:r>
        <w:t>- 4 -</w:t>
      </w:r>
    </w:p>
    <w:p>
      <w:r>
        <w:t>parties qui succombent, de sorte que les frais judiciaires seront mis à leur charge (décision du Tribunal pénal fédéral BV.2017.44 du 13 décembre 2017);</w:t>
      </w:r>
    </w:p>
    <w:p>
      <w:r>
        <w:t>qu’en l’espèce, le retrait de la plainte est intervenu à l’issue de l’échange d’écritures, de sorte que l’on ne saurait considérer que la cause soit sans incidence concernant les frais;</w:t>
      </w:r>
    </w:p>
    <w:p>
      <w:r>
        <w:t>que les plaignants doivent en conséquence supporter, solidairement, les frais engagés jusqu’ici, fixés à CHF 500.-- en application des art. 25 al. 4 DPA, 73 LOAP et art. 5 et 8 du règlement du Tribunal pénal fédéral du 31 août 2010 sur les frais, émoluments, dépens et indemnités de la procédure pénale fédérale (RFPPF; RS 173.713.162); ceux-ci sont réputés couverts par l’avance de frais de CHF 2'000.-- déjà effectuée, de sorte que le solde par CHF 1'500.-- sera restitué aux conseils des plaignants.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