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BV.2020.15 vom 17. April 2020</w:t>
      </w:r>
    </w:p>
    <w:p>
      <w:r>
        <w:t>Bundesstrafgericht, 2020-04-17, FR</w:t>
      </w:r>
    </w:p>
    <w:p>
      <w:r>
        <w:rPr>
          <w:b/>
        </w:rPr>
        <w:t xml:space="preserve">Quelle: </w:t>
      </w:r>
      <w:r>
        <w:t>https://mcp.opencaselaw.ch/entscheid/bstger_BV.2020.15</w:t>
      </w:r>
    </w:p>
    <w:p>
      <w:r>
        <w:t>FR: TPF BV.2020.15 du 17 avril 2020</w:t>
      </w:r>
    </w:p>
    <w:p>
      <w:r>
        <w:t>IT: TPF BV.2020.15 del 17 aprile 2020</w:t>
      </w:r>
    </w:p>
    <w:p>
      <w:pPr>
        <w:pStyle w:val="Heading2"/>
      </w:pPr>
      <w:r>
        <w:t>Regeste</w:t>
      </w:r>
    </w:p>
    <w:p>
      <w:r>
        <w:t>Actes (art. 27 al. 1 et 3 DPA). Mesures provisionnelles (art. 28 al. 5 DPA).</w:t>
      </w:r>
    </w:p>
    <w:p>
      <w:pPr>
        <w:pStyle w:val="Heading2"/>
      </w:pPr>
      <w:r>
        <w:t>Erwägungen</w:t>
      </w:r>
    </w:p>
    <w:p>
      <w:r>
        <w:rPr>
          <w:b/>
        </w:rPr>
        <w:t>E. 14</w:t>
      </w:r>
    </w:p>
    <w:p>
      <w:r>
        <w:t>avril 2020; et, que l’enquêtrice en charge a – suite à la suspension de délais en lien avec le COVID 19 – de nouveau prolongé ce délai jusqu’au 20 avril 2020;</w:t>
      </w:r>
    </w:p>
    <w:p>
      <w:r>
        <w:t>- selon la jurisprudence et la doctrine, il appartient au requérant de démontrer qu'il est sur le point de subir un préjudice important et – sinon irréparable – à tout le moins difficilement réparable (v. notamment les ordonnances du Tribunal pénal fédéral BP.2010.6 et BP.2010.18-23 des 10 février et 11 juin 2010; JdT 2008 IV 66, n° 312 p. 161; CORBOZ, Commentaire de la LTF, 2014,</w:t>
      </w:r>
    </w:p>
    <w:p>
      <w:r>
        <w:t>- 5 -</w:t>
      </w:r>
    </w:p>
    <w:p>
      <w:r>
        <w:t>nos 28 et 29 ad art. 103; DONZALLAZ, Loi sur le Tribunal fédéral - Commentaire, 2008, n° 4166);</w:t>
      </w:r>
    </w:p>
    <w:p>
      <w:r>
        <w:t>- en l’espèce, le plaignant estime que le délai qui lui a été fixé par le DFF est insuffisant pour lui permettre de s’expliquer et de préparer sa défense à satisfaction (act. 1, p. 10);</w:t>
      </w:r>
    </w:p>
    <w:p>
      <w:r>
        <w:t>- le DFF lui a transmis le dossier, environ 6500 pages (8,5 classeurs fédéraux) le 24 février 2020 et environ 1500 pages le 18 mars 2020;</w:t>
      </w:r>
    </w:p>
    <w:p>
      <w:r>
        <w:t>- le plaignant a donc eu environ 7 semaines pour se déterminer, étant relevé que le DFF précisait, dans sa missive du 18 mars 2020 qu’il n’y aurait pas de nouvelle prolongation de délai;</w:t>
      </w:r>
    </w:p>
    <w:p>
      <w:r>
        <w:t>- dès lors, le DFF, en tenant compte de la complexité de l’affaire, lui a octroyé un délai pour se déterminer quant au procès-verbal final beaucoup plus long que celui de 10 jours prévu à l’art. 61 al. 3 DPA;</w:t>
      </w:r>
    </w:p>
    <w:p>
      <w:r>
        <w:t>- dans ces circonstances, accorder l'effet suspensif reviendrait à octroyer au plaignant ce que le DFF lui a refusé, ce qui contrevient à la jurisprudence;</w:t>
      </w:r>
    </w:p>
    <w:p>
      <w:r>
        <w:t>- il est de jurisprudence constante que la notion d’effet suspensif ne permet pas à une partie d’obtenir, à titre de mesures provisionnelles, ce que l’autorité précédente n’a pas accordé et qui constitue l’objet du litige (ATF 119 V 503 consid. 3; CORBOZ [et al.], op.cit., n° 16 ad art. 104);</w:t>
      </w:r>
    </w:p>
    <w:p>
      <w:r>
        <w:t>- si l’on devait admettre la requête du plaignant, tel serait le cas en l’espèce;</w:t>
      </w:r>
    </w:p>
    <w:p>
      <w:r>
        <w:t>- la requête d’effet suspensif doit dès lors être rejetée;</w:t>
      </w:r>
    </w:p>
    <w:p>
      <w:r>
        <w:t>- pour le surplus il convient de relever que selon l’art. 61 DPA aucun recours n’est recevable contre la notification du procès-verbal final et son contenu (al. 4; v. décision du Tribunal pénal fédéral BV.2016.11 du 24 mai 2016 consid. 1.3);</w:t>
      </w:r>
    </w:p>
    <w:p>
      <w:r>
        <w:t>- la Cour de céans n’est pas compétente pour se déterminer sur d’éventuels vices affectant le procès-verbal final ou, le cas échéant, la procédure subséquente;</w:t>
      </w:r>
    </w:p>
    <w:p>
      <w:r>
        <w:t>- il en découle, par voie de conséquence, que les autres griefs du plaignant, en lien avec de prétendues violations des principes de célérité, de bonne foi, d’égalité de traitement et du droit d’être entendu, doivent être déclarés irrecevables ;</w:t>
      </w:r>
    </w:p>
    <w:p>
      <w:r>
        <w:t>- 6 -</w:t>
      </w:r>
    </w:p>
    <w:p>
      <w:r>
        <w:t>- le plaignant, qui succombe, supportera un émolument, fixé à CHF 1'000.-- en vertu de l'art. 73 de la loi fédérale sur l’organisation des autorités pénales de la Confédération (LOAP; RS 173.71), applicable par renvoi de l'art. 25 al. 4 DPA; art. 5 et 8 du règlement du Tribunal pénal fédéral sur les frais, émoluments, dépens et indemnités de la procédure pénale fédérale du 31 août 2010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