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BV.2019.6 vom 21. August 2019</w:t>
      </w:r>
    </w:p>
    <w:p>
      <w:r>
        <w:t>Bundesstrafgericht, 2019-08-21, DE</w:t>
      </w:r>
    </w:p>
    <w:p>
      <w:r>
        <w:rPr>
          <w:b/>
        </w:rPr>
        <w:t xml:space="preserve">Quelle: </w:t>
      </w:r>
      <w:r>
        <w:t>https://mcp.opencaselaw.ch/entscheid/bstger_BV.2019.6</w:t>
      </w:r>
    </w:p>
    <w:p>
      <w:r>
        <w:t>FR: TPF BV.2019.6 du 21 août 2019</w:t>
      </w:r>
    </w:p>
    <w:p>
      <w:r>
        <w:t>IT: TPF BV.2019.6 del 21 agosto 2019</w:t>
      </w:r>
    </w:p>
    <w:p>
      <w:pPr>
        <w:pStyle w:val="Heading2"/>
      </w:pPr>
      <w:r>
        <w:t>Regeste</w:t>
      </w:r>
    </w:p>
    <w:p>
      <w:r>
        <w:t>Amtshandlung (Art. 27 Abs. 1 und 3 VStrR).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Art. 60 Abs. 1 des Bundesgesetzes vom 20. März 2009 über die Personen- beförderung (SR 745.1; Personenbeförderungsgesetz, PBG) erklärt das Bundesamt für Verkehr BAV zuständig für die Verfolgung und Beurteilung von Übertretungen nach Artikel 57 Absätze 1 und 2 PBG. Gemäss Art. 60 Abs. 3 PBG ist für das Verfahren vor dem BAV das Bundesgesetz vom 22. März 1974 über das Verwaltungsstrafrecht (VStrR; SR 313) massge- blich. Nach Art. 12 des Bundesgesetzes vom 20. März 2009 über die Zulas- sung als Strassentransportunternehmen (SR 744.10; STUG) gilt gleiches für die Zuständigkeit und das anwendbare Recht bei Übertretungen von Art. 11 STUG.</w:t>
      </w:r>
    </w:p>
    <w:p>
      <w:r>
        <w:rPr>
          <w:b/>
        </w:rPr>
        <w:t>E. 1.2</w:t>
      </w:r>
    </w:p>
    <w:p>
      <w:r>
        <w:t>Art. 56 Abs. 2 PBG ("Rechtsweg", im 12. Abschnitt: Rechtspflege, Strafbe- stimmungen und Verwaltungsmassnahmen) erklärt für nicht-vermögens- rechtliche Streitigkeiten die Vorschriften der Bundesverwaltungsrechtspflege als anwendbar. Das STUG enthält keine diesbezüglichen Bestimmungen. Soweit die Verfolgung und Beurteilung von Widerhandlungen einer Verwal- tungsbehörde des Bundes übertragen ist, findet nach Art. 1 VStrR jedoch das Bundesgesetz über das Verwaltungsstrafrecht Anwendung. Vorliegend geht es um solche Widerhandlungen und nicht um (verwaltungsrechtliche) "Streitigkeiten" im Sinne des PBG. Damit richtet sich das Rechtsmittelverfah- ren nach dem VStrR.</w:t>
      </w:r>
    </w:p>
    <w:p>
      <w:r>
        <w:rPr>
          <w:b/>
        </w:rPr>
        <w:t>E. 1.3</w:t>
      </w:r>
    </w:p>
    <w:p>
      <w:r>
        <w:t>Gegen Amtshandlungen sowie gegen Säumnis des untersuchenden Beam- ten kann gemäss Art. 27 Abs. 1 VStrR beim Direktor oder Chef der beteilig-</w:t>
      </w:r>
    </w:p>
    <w:p>
      <w:r>
        <w:t>- 5 -</w:t>
      </w:r>
    </w:p>
    <w:p>
      <w:r>
        <w:t>ten Verwaltung Beschwerde geführt werden. Dieser erlässt einen Beschwer- deentscheid (Art. 27 Abs. 2 VStrR). Ein Beschwerdeentscheid im Sinne von Art. 27 Abs. 2 VStrR kann bei der Beschwerdekammer des Bundesstrafge- richts angefochten werden (Art. 27 Abs. 3 VStrR i.V.m. Art. 37 Abs. 2 lit. b StBOG). Zur Beschwerde ist berechtigt, wer durch den Beschwerdeent- scheid berührt ist und ein schutzwürdiges Interesse an dessen Aufhebung oder Änderung hat (Art. 28 Abs. 1 VStrR). Die Beschwerde gegen einen Be- schwerdeentscheid ist innert drei Tagen, nachdem dieser dem Beschwerde- führer eröffnet worden ist, schriftlich mit Antrag und kurzer Begründung ein- zureichen (Art. 28 Abs. 3 VStrR). Im Gegensatz zur Beschwerde gegen Zwangsmassnahmen (Art. 28 Abs. 2 VStrR) können Beschwerdeentscheide nach Art. 27 VStrR nur wegen Verletzung von Bundesrecht, einschliesslich Überschreitung oder Missbrauch des Ermessens, angefochten werden (Art. 27 Abs. 3 VStrR).</w:t>
      </w:r>
    </w:p>
    <w:p>
      <w:r>
        <w:rPr>
          <w:b/>
        </w:rPr>
        <w:t>E. 1.4</w:t>
      </w:r>
    </w:p>
    <w:p>
      <w:r>
        <w:t>Der Beschwerdeführer wäre als Beschuldigter und Partei des angefochtenen Entscheids zur Beschwerde legitimiert. Gegen die Eröffnung des Schluss- protokolls und seinen Inhalt ist indes keine Beschwerde zulässig. Die Ableh- nung eines Antrages auf Ergänzung der Untersuchung kann nur in Verbin- dung mit dem Strafbescheid angefochten werden (Art. 61 Abs. 4 VStrR). Wie in der Strafprozessordnung (Art. 318 Abs. 2 und 3 StPO), kann somit auch im Verwaltungsstrafverfahren die Abweisung von Beweisanträgen nicht selb- ständig angefochten werden (vgl. FAVRE/PELLET/STOUDMANN, Droit pénal accessoire, 2018, S. 106 m.w.N.). Auf die Beschwerde ist damit nicht einzu- treten.</w:t>
      </w:r>
    </w:p>
    <w:p>
      <w:r>
        <w:rPr>
          <w:b/>
        </w:rPr>
        <w:t>E. 2</w:t>
      </w:r>
    </w:p>
    <w:p>
      <w:r>
        <w:t>Art. 25 Abs. 4 VStrR bestimmt, dass Verfahren vor der Beschwerdekammer des Bundesstrafgerichts kostenpflichtig sind. Art. 25 Abs. 4 VStrR verweist im Übrigen auf Art. 73 StBOG. Dieser Artikel enthält u.a. eine Delegati- onsnorm für die Berechnung der Verfahrenskosten (Art. 73 Abs. 1 lit. a StBOG) sowie Grundsätze für die Gebührenbemessung (Art. 73 Abs. 2 StBOG) und führt für die Kosten das Reglement des Bundesstrafge- richts vom 31. August 2010 über die Kosten, Gebühren und Entschädigun- gen in Bundesstrafverfahren (BStKR; SR 173.713.162) an. Für die Kosten- verteilung zwischen den Parteien wird in der Rechtsprechung einerseits Art. 66 Abs. 1 BGG analog herangezogen (TPF 2011 25 E. 3; vgl. aber BGE 131 II 562 E. 3.4). Bei Gerichtskosten greifen das Kostendeckungs- und Äquivalenzprinzip nicht (BGE 143 I 227 E. 4.3.1, 4.2.3; anders BGE 141 I 105 E. 3.3.2); Gerichtskosten werden indes in Anlehnung an das Verursa- cherprinzip in der Regel nach Obsiegen/Unterliegen verteilt (Beschluss des Bundesstrafgerichts BE.2013.16 vom 27. Februar 2014 E. 7).</w:t>
      </w:r>
    </w:p>
    <w:p>
      <w:r>
        <w:t>- 6 -</w:t>
      </w:r>
    </w:p>
    <w:p>
      <w:r>
        <w:t>Beim vorliegenden Ausgang des Verfahrens unterliegt der Beschwerdefüh- rer. Damit ist ihm die auf Fr. 1'000.-- zu bemessene Gerichtsgebühr aufzu- erlegen.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