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BV.2019.5 vom 2. April 2019</w:t>
      </w:r>
    </w:p>
    <w:p>
      <w:r>
        <w:t>Bundesstrafgericht, 2019-04-02, DE</w:t>
      </w:r>
    </w:p>
    <w:p>
      <w:r>
        <w:rPr>
          <w:b/>
        </w:rPr>
        <w:t xml:space="preserve">Quelle: </w:t>
      </w:r>
      <w:r>
        <w:t>https://mcp.opencaselaw.ch/entscheid/bstger_BV.2019.5</w:t>
      </w:r>
    </w:p>
    <w:p>
      <w:r>
        <w:t>FR: TPF BV.2019.5 du 2 avril 2019</w:t>
      </w:r>
    </w:p>
    <w:p>
      <w:r>
        <w:t>IT: TPF BV.2019.5 del 2 aprile 2019</w:t>
      </w:r>
    </w:p>
    <w:p>
      <w:pPr>
        <w:pStyle w:val="Heading2"/>
      </w:pPr>
      <w:r>
        <w:t>Regeste</w:t>
      </w:r>
    </w:p>
    <w:p>
      <w:r>
        <w:t>Amtshandlung (Art. 26 Abs. 2 lit. b VStrR); Nichteintreten auf Siegelungsantrag (Art. 50 Abs. 3 VStrR); vorsorgliche Massnahmen (Ar.388 StPO analog)</w:t>
      </w:r>
    </w:p>
    <w:p>
      <w:pPr>
        <w:pStyle w:val="Heading2"/>
      </w:pPr>
      <w:r>
        <w:t>Erwägungen</w:t>
      </w:r>
    </w:p>
    <w:p>
      <w:r>
        <w:rPr>
          <w:b/>
        </w:rPr>
        <w:t>E. 1.1</w:t>
      </w:r>
    </w:p>
    <w:p>
      <w:r>
        <w:t>Gemäss Art. 50 Abs. 1 des Bundesgesetzes über die Eidgenössische Fi- nanzmarktaufsicht (Finanzmarktaufsichtsgesetz, FINMAG; SR 956.1) richtet sich das Verfahren bei Verdacht von Widerhandlungen gegen das FINMAG oder der Finanzmarktgesetze – worunter auch das Bundesgesetz über die Bekämpfung der Geldwäscherei und der Terrorismusfinanzierung (Geldwä- schereigesetz, GwG; SR 955.0) fällt – nach den Bestimmungen des Bundes- gesetzes über das Verwaltungsstrafrecht (VStrR; SR 313.0), soweit das FIN- MAG oder die Finanzmarktgesetze nichts anderes bestimmen. Verfolgende und urteilende Behörde ist das EFD (Art. 50 Abs. 1 2. Satz FINMAG).</w:t>
      </w:r>
    </w:p>
    <w:p>
      <w:r>
        <w:rPr>
          <w:b/>
        </w:rPr>
        <w:t>E. 1.2</w:t>
      </w:r>
    </w:p>
    <w:p>
      <w:r>
        <w:t>Soweit das VStrR einzelne Fragen nicht abschliessend regelt, sind die Bestimmungen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2.1</w:t>
      </w:r>
    </w:p>
    <w:p>
      <w:r>
        <w:t>Gegen Zwangsmassnahmen im Sinne der Art. 45 ff. VStrR und damit zu- sammenhängende Amtshandlungen kann bei der Beschwerdekammer des Bundesstrafgerichts Beschwerde geführt werden (Art. 26 Abs. 1 VStrR i.V.m. Art. 37 Abs. 2 lit. b StBOG). Mit der Beschwerde kann die Verletzung von</w:t>
      </w:r>
    </w:p>
    <w:p>
      <w:r>
        <w:t>- 7 -</w:t>
      </w:r>
    </w:p>
    <w:p>
      <w:r>
        <w:t>Bundesrecht, die unrichtige oder unvollständige Feststellung des Sachver- halts oder die Unangemessenheit gerügt werden (Art. 28 Abs. 2 VStrR). Die Beschwerde ist innert drei Tagen, nachdem der Beschwerdeführer von der Amtshandlung Kenntnis hat, bei der zuständigen Behörde schriftlich mit An- trag und kurzer Begründung einzureichen (Art. 28 Abs. 3 VStrR). Ist die Be- schwerde nicht gegen den Direktor oder Chef der beteiligten Verwaltung ge- richtet, ist sie bei diesem einzureichen (Art. 26 Abs. 2 lit. b VStrR). Berichtigt derselbe die angefochtene Amtshandlung nicht im Sinne der gestellten An- träge, hat er die Beschwerde mit seiner Äusserung spätestens am dritten Werktag nach ihrem Eingang an die Beschwerdekammer weiterzuleiten (Art. 26 Abs. 3 VStrR).</w:t>
      </w:r>
    </w:p>
    <w:p>
      <w:r>
        <w:t>Zur Beschwerde ist berechtigt, wer durch die angefochtene Amtshandlung berührt ist und ein schutzwürdiges Interesse an deren Aufhebung oder Än- derung hat (Art. 28 Abs. 1 VStrR). Dies bedeutet im Sinne der Rechtspre- chung, dass nur die durch eine Massnahme persönlich und direkt betroffene Person, welche ein schutzwürdiges Interesse an deren Aufhebung oder Än- derung hat, beschwerdelegitimiert ist (Beschlüsse des Bundesstrafgerichts BV.2015.2 vom 2. September 2015 E. 2.2; BV.2008.14 und BV.2008.15 vom 30. Januar 2009 E. 1.4). Das Interesse an der Aufhebung oder Änderung eines Entscheides hat nach der bundesgerichtlichen Rechtsprechung zu Art. 382 Abs. 1 StPO zudem ein aktuelles und praktisches zu sein (statt vie- ler: Urteil des Bundesgerichts 6B_1153/2016 vom 23. Januar 2018 E. 2.3.1; Beschluss des Bundesstrafgerichts BB.2018.89 vom 14. Juni 2018 E. 1.2).</w:t>
      </w:r>
    </w:p>
    <w:p>
      <w:r>
        <w:rPr>
          <w:b/>
        </w:rPr>
        <w:t>E. 2.2</w:t>
      </w:r>
    </w:p>
    <w:p>
      <w:r>
        <w:t>Der Beschwerdeführer macht geltend, er sei formell insofern durch die an- gefochtene Verfügung vom 18. Februar 2019 beschwert, als auf sein Siege- lungsgesuch nicht eingetreten und damit namentlich seinem Begehren um Siegelung der von der Anwaltskanzlei D. erstellten Berichte der internen Un- tersuchung bei der Bank B. nicht stattgegeben worden sei. Auch die materi- elle Beschwer sei zu bejahen, und zwar ungeachtet des Umstandes, dass der Beschwerdegegner die betreffenden Berichte entsiegelt und durchsucht habe (vgl. auch supra lit. N., act. 1 S. 4 f. und act. 7 S. 2).</w:t>
      </w:r>
    </w:p>
    <w:p>
      <w:r>
        <w:t>Die Beschwerde richtet sich gegen den Entscheid des Beschwerdegegners vom 18. Februar 2019, mit welchem dieser auf den Antrag des Beschwerde- führers die von der Anwaltskanzlei D. erstellten Abschluss- und Zwischen- berichte zu siegeln, nicht eingetreten ist. Das Bundesgericht hatte zuvor – wie bereits ausgeführt – endgültig mit Urteil 1B_487/2018 vom 6. Feb- ruar 2019 die Teilnahmerechte des Beschwerdeführers im Verfahren um Entsiegelung der von der Anwaltskanzlei D. erstellten Abschluss- und Zwi- schenberichte verneint (vgl. supra lit. J). Eine erneute Siegelung eben dieser</w:t>
      </w:r>
    </w:p>
    <w:p>
      <w:r>
        <w:t>- 8 -</w:t>
      </w:r>
    </w:p>
    <w:p>
      <w:r>
        <w:t>Berichte gestützt auf ein Gesuch des Beschwerdeführers war damit ausge- schlossen. Auf das Siegelungsersuchen des Beschwerdeführers wäre daher bereits aus diesem Grund nicht einzutreten gewesen. Vor diesem Hinter- grund durfte das EFD ohne Weiteres die ihm vom Bundesgericht zugestell- ten Berichte entsiegeln und durchsuchen. Mit der erfolgten Durchsuchung jedenfalls entfällt das aktuelle schutzwürdige Interesse an der Aufhebung der angefochtenen Verfügung. Auf die Beschwerde ist daher nicht einzutreten.</w:t>
      </w:r>
    </w:p>
    <w:p>
      <w:r>
        <w:rPr>
          <w:b/>
        </w:rPr>
        <w:t>E. 3</w:t>
      </w:r>
    </w:p>
    <w:p>
      <w:r>
        <w:t>Das Gesuch um Anordnung einer umgehenden Siegelung im Sinne eines vorsorglichen Rechtsschutzes und um vorläufige Untersagung der Einsicht- nahme in die Berichte und Beilagen der Anwaltskanzlei D. wird mit diesem Entscheid gegenstandslos und ist entsprechend abzuschreiben.</w:t>
      </w:r>
    </w:p>
    <w:p>
      <w:r>
        <w:rPr>
          <w:b/>
        </w:rPr>
        <w:t>E. 4</w:t>
      </w:r>
    </w:p>
    <w:p>
      <w:r>
        <w:t>Bei diesem Ausgang des Verfahrens hat der unterliegende Beschwerdefüh- rer die Gerichtskosten zu tragen (Art. 25 Abs. 4 VStrR i.V.m. Art. 66 Abs. 1 und 5 BGG analog). Die Gerichtsgebühr ist auf Fr. 2'000.-- festzusetzen (Art. 25 Abs. 4 VStrR i.V.m. Art. 73 StBOG und Art. 5 und 8 Abs. 1 BStKR), unter Anrechnung des geleisteten Kostenvorschusses in derselben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