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BV.2019.34 vom 20. April 2020</w:t>
      </w:r>
    </w:p>
    <w:p>
      <w:r>
        <w:t>Bundesstrafgericht, 2020-04-20, DE</w:t>
      </w:r>
    </w:p>
    <w:p>
      <w:r>
        <w:rPr>
          <w:b/>
        </w:rPr>
        <w:t xml:space="preserve">Quelle: </w:t>
      </w:r>
      <w:r>
        <w:t>https://mcp.opencaselaw.ch/entscheid/bstger_BV.2019.34</w:t>
      </w:r>
    </w:p>
    <w:p>
      <w:r>
        <w:t>FR: TPF BV.2019.34 du 20 avril 2020</w:t>
      </w:r>
    </w:p>
    <w:p>
      <w:r>
        <w:t>IT: TPF BV.2019.34 del 20 aprile 2020</w:t>
      </w:r>
    </w:p>
    <w:p>
      <w:pPr>
        <w:pStyle w:val="Heading2"/>
      </w:pPr>
      <w:r>
        <w:t>Regeste</w:t>
      </w:r>
    </w:p>
    <w:p>
      <w:r>
        <w:t>Beschlagnahme (Art. 46 f. VStrR). Akteneinsicht (Art. 36 VStrR i.V.m. Art. 26 ff. VwVG).</w:t>
      </w:r>
    </w:p>
    <w:p>
      <w:pPr>
        <w:pStyle w:val="Heading2"/>
      </w:pPr>
      <w:r>
        <w:t>Erwägungen</w:t>
      </w:r>
    </w:p>
    <w:p>
      <w:r>
        <w:rPr>
          <w:b/>
        </w:rPr>
        <w:t>E. 1</w:t>
      </w:r>
    </w:p>
    <w:p>
      <w:r>
        <w:t>Nach dem Grundsatz der Prozessökonomie sind Verfahren möglichst ein- fach, rasch und zweckmässig zum Abschluss zu bringen (BGE 126 V 283 E. 1 S. 285). Es steht im Ermessen des Gerichts, Verfahren nach diesem Grundsatz zu vereinen (Beschluss des Bundesstrafgerichts BV.2016.19 vom 7. Dezember 2016 E. 1). Die Beschwerdeverfahren BV.2019.34–39 und BV.2019.40–45 haben die gleichen Parteien, basieren auf demselben Sach- verhalt und werfen die gleichen Rechtsfragen auf. Sie sind daher zu verei- nen.</w:t>
      </w:r>
    </w:p>
    <w:p>
      <w:r>
        <w:rPr>
          <w:b/>
        </w:rPr>
        <w:t>E. 2.1</w:t>
      </w:r>
    </w:p>
    <w:p>
      <w:r>
        <w:t>Die EStV ist die nach Art. 21 Abs. 1 des Bundesgesetzes vom 22. März 1974 über das Verwaltungsstrafrecht (VStrR; SR 313.0) zuständige Behörde, wenn es um schwere Steuerwiderhandlungen, Widerhandlungen gegen das Verrechnungssteuergesetz sowie Verstösse gegen die Mehrwertsteuer (In- landsteuer, Bezugssteuer) geht (Art. 191 Abs. 1 des Bundesgesetzes vom 14. Dezember 1990 über die direkte Bundessteuer; DBG; SR 642.11; Art. 67 Abs. 1 des Bundesgesetzes vom 13. Oktober 1965 über die Verrechnungs- steuer; Verrechnungssteuergesetz, VStG; SR 642.2; Art. 103 Abs. 1 und 2 des Bundesgesetzes vom 12. Juni 2009 über die Mehrwertsteuer; Mehrwert- steuergesetz, MWSTG; SR 641.20).</w:t>
      </w:r>
    </w:p>
    <w:p>
      <w:r>
        <w:rPr>
          <w:b/>
        </w:rPr>
        <w:t>E. 2.2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t>- 5 -</w:t>
      </w:r>
    </w:p>
    <w:p>
      <w:r>
        <w:rPr>
          <w:b/>
        </w:rPr>
        <w:t>E. 3.1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w:t>
      </w:r>
    </w:p>
    <w:p>
      <w:r>
        <w:rPr>
          <w:b/>
        </w:rPr>
        <w:t>E. 3.2</w:t>
      </w:r>
    </w:p>
    <w:p>
      <w:r>
        <w:t>Zur Beschwerde ist berechtigt, wer durch den Beschwerdeentscheid berührt ist und ein schutzwürdiges Interesse an dessen Aufhebung oder Änderung hat (Art. 28 Abs. 1 VStrR). Gemäss Art. 47 Abs. 1 VStrR ist die Beschlag- nahme gegen den Inhaber eines Gegenstandes oder Vermögenswertes ge- richtet (vgl. BGE 119 IV 326 E. 7 f; BOMMER/GOLDSCHMID, Basler Kommen- tar, 2. Aufl. 2014, Art. 263 StPO N. 31). Die Beschwerde ist innert dreier Tage nachdem der Beschwerdeführer von der Amtshandlung Kenntnis hat bei der zuständigen Behörde schriftlich, mit Antrag und kurzer Begründung, einzu- reichen (Art. 28 Abs. 3 VStrR). Die Beschwerde gegen Zwangsmassnahmen der Untersuchungsbeamten ist beim Chef der entsprechenden Verwaltungs- einheit einzureichen (vgl. Art. 26 Abs. 2 lit. b VStrR). Berichtigt der Chef der beteiligten Verwaltung die Amtshandlung oder Säumnis im Sinne der gestell- ten Anträge, so fällt die Beschwerde dahin; andernfalls hat er sie mit seiner Äusserung spätestens am dritten Werktag nach ihrem Eingang an die Be- schwerdekammer weiterzuleiten (Art. 26 Abs. 3 VStrR).</w:t>
      </w:r>
    </w:p>
    <w:p>
      <w:r>
        <w:rPr>
          <w:b/>
        </w:rPr>
        <w:t>E. 3.3</w:t>
      </w:r>
    </w:p>
    <w:p>
      <w:r>
        <w:t>Am 30. April 2014 führte die EStV Hausdurchsuchungen bei der B. AG in Y. (Z.-Strasse) durch, bei A. in X. sowie in der von der B. AG für A. gemieteten Privatwohnung (V-Strasse) in Y. (Schreiben der EStV an das kantonale Steueramt St. Gallen vom 8. März 2017, BV.2019.40 in act. 1.2; act. 2 S. 2 Vernehmlassung).</w:t>
      </w:r>
    </w:p>
    <w:p>
      <w:r>
        <w:rPr>
          <w:b/>
        </w:rPr>
        <w:t>E. 3.4</w:t>
      </w:r>
    </w:p>
    <w:p>
      <w:r>
        <w:t>Die Beschwerde ist frist- und formgerecht erhoben.</w:t>
      </w:r>
    </w:p>
    <w:p>
      <w:r>
        <w:t>Vorliegend geht es um die Freigabe der in Y. bei der B. AG (vgl. BV.2019.40 act. 2.2–2.4, 2.8) sowie in der Privatwohnung von A. (vgl. BV.2019.34 act. 2.2, 2.7) beschlagnahmten Unterlagen / Daten. Damit sind die B. AG und A. für die jeweils in ihren Räumlichkeiten sichergestellten Unterlagen / Daten beschwerdelegitimiert. Den nicht direkt von der Zwangsmassnahme betroffenen Beschwerdeführerinnen 3–6 fehlt demgegenüber die Beschwer- delegitimation – auf die Beschwerde ist folglich insoweit nicht einzutreten.</w:t>
      </w:r>
    </w:p>
    <w:p>
      <w:r>
        <w:rPr>
          <w:b/>
        </w:rPr>
        <w:t>E. 3.5</w:t>
      </w:r>
    </w:p>
    <w:p>
      <w:r>
        <w:t>Die Beschwerde stellt weiter prozessuale Anträge auf uneingeschränkte Ak- teneinsicht und auf Zeugeneinvernahmen. Die Beschwerdeführer beantrag- ten indes keine Akteneinsicht vor der Vorinstanz und eine solche war auch</w:t>
      </w:r>
    </w:p>
    <w:p>
      <w:r>
        <w:t>- 6 -</w:t>
      </w:r>
    </w:p>
    <w:p>
      <w:r>
        <w:t>nicht Gegenstand der angefochtenen Verfügung (vgl. BV.2019.34 act. 2.3, 2.7; BV.2019.40 act. 2.5-2.7, 2.8). Damit ist das Gesuch, die Verfahrensak- ten der EStV einzusehen, im vorliegenden Beschwerdeverfahren kein zuläs- siges Verfahrensthema. Auf den Antrag auf Einsicht in die Akten der EStV ist daher nicht einzutreten. Im Beschwerdeverfahren selbst haben die Be- schwerdeführer sämtliche Eingaben der EStV erhalten (vgl. act. 4 S. 2 Ein- ladung zur Replik). Sodann erweist sich das Beschwerdeverfahren als spruchreif; Zeugeneinvernahmen sind nicht erforderlich. Dementsprechend ist auch auf diesen prozessualen Antrag nicht einzutreten.</w:t>
      </w:r>
    </w:p>
    <w:p>
      <w:r>
        <w:rPr>
          <w:b/>
        </w:rPr>
        <w:t>E. 3.6</w:t>
      </w:r>
    </w:p>
    <w:p>
      <w:r>
        <w:t>Damit ist auf die Beschwerde der B. AG bezüglich der an der Z.-Strasse in Y. sichergestellten Unterlagen einzutreten, ebenso wie auf die Beschwerde von A. hinsichtlich der an der V.-Strasse in Y. sichergestellten und beschlag- nahmten Daten. (A. und die B. AG werden nachfolgend als "Beschwerdefüh- rer" bezeichnet.) Im Übrigen ist auf die Beschwerde nicht einzutreten.</w:t>
      </w:r>
    </w:p>
    <w:p>
      <w:r>
        <w:rPr>
          <w:b/>
        </w:rPr>
        <w:t>E. 4</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Zuwendungen (Art. 46 Abs. 1 VStrR). Die Beschlagnahme nach Art. 46 Abs. 1 lit. b VStrR stellt eine provisorische prozessuale Massnahme zur vorläufigen Sicherstel- lung der allenfalls der Einziehung unterliegenden Vermögenswerte dar und greift dem Entscheid über die endgültige Einziehung nicht vor (BGE 120 IV 365 E. 1c). Als strafprozessuale Zwangsmassnahme setzt die Beschlag- nahme im Verwaltungsstrafverfahren voraus, dass ein hinreichender Tatver- dacht besteht (vgl. Art. 197 Abs. 1 lit. b StPO). Sie muss ausserdem vor dem Verhältnismässigkeitsgrundsatz standhalten (Art. 45 Abs. 1 VStrR; vgl. Art. 197 Abs. 1 lit. c-d StPO). Nicht zulässig ist die Beschlagnahme nach Art. 46 Abs. 1 lit. b VStrR, falls eine strafrechtliche Einziehung aus materiell- rechtlichen Gründen bereits als offensichtlich unzulässig erscheint (Be- schluss des Bundesstrafgerichts BV.2017.5 vom 20. April 2017 E. 5.1).</w:t>
      </w:r>
    </w:p>
    <w:p>
      <w:r>
        <w:rPr>
          <w:b/>
        </w:rPr>
        <w:t>E. 5.1</w:t>
      </w:r>
    </w:p>
    <w:p>
      <w:r>
        <w:t>Zu prüfen ist zunächst, ob ein hinreichender Tatverdacht gegeben ist. Wohnungen und andere Räume sowie unmittelbar zu einem Hause gehö- rende umfriedete Liegenschaften dürfen nur durchsucht werden, wenn es wahrscheinlich ist, dass sich der Beschuldigte darin verborgen hält oder dass</w:t>
      </w:r>
    </w:p>
    <w:p>
      <w:r>
        <w:t>- 7 -</w:t>
      </w:r>
    </w:p>
    <w:p>
      <w:r>
        <w:t>sich Gegenstände oder Vermögenswerte, die der Beschlagnahme unterlie- gen, oder Spuren der Widerhandlung darin befinden (Art. 48 Abs. 1 VStrR; Urteil des Bundesgerichts 1B_539 2019 vom 19. März 2020 E. 3.2.2). 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Hinweise auf eine straf- bare Handlung müssen erheblich und konkreter Natur sein, um einen hinrei- chenden Tatverdacht begründen zu können (BGE 141 IV 87 E. 1.3.1 S. 90; 137 IV 122 E. 3.2 S. 126). Zur Frage des Tatverdachtes bzw. zur Schuldfrage hat die Beschwerdeinstanz weder ein eigentliches Beweisverfahren durch- zuführen, noch dem erkennenden Strafrichter vorzugreifen (BGE 137 IV 122 E. 3.2 S. 126 f.; s.a. BGE 143 IV 330 E. 2.1 S. 333; zum Ganzen Urteil des Bundesgerichts 1B_433/2017 vom 21. März 2018 E. 5.2).</w:t>
      </w:r>
    </w:p>
    <w:p>
      <w:r>
        <w:rPr>
          <w:b/>
        </w:rPr>
        <w:t>E. 5.2</w:t>
      </w:r>
    </w:p>
    <w:p>
      <w:r>
        <w:t>Der Beschwerdeführer zweifelt in seiner Beschwerdeschrift den Anfangstat- verdacht nicht an und die EStV schildert in ihrer Stellungnahme vom 4. Ok- tober 2019 (act. 2) die allenfalls dazu relevante Verfahrensgeschichte. Dem- nach erhielt die EStV die Ermächtigung zur Durchführung einer besonderen Steueruntersuchung, erwähnt die EStV Nach- und Steuerstrafverfahren in den Kantonen Zürich und St. Gallen, hatte die EStV im Verrechnungssteu- erverfahren das Schlussprotokoll gegen A. eröffnet und gegen ihn eine Straf- verfügung gestützt auf das MWSTG erlassen. Diese könnten möglicher- weise Indizien für einen Anfangstatverdacht sein, begründen ihn jedoch nicht. Immerhin erwähnt der Durchsuchungsbefehl des Direktors der EStV vom 24. April 2014 (BV.2019. 34 act. 2.1 lit. A und B) präzise die einzelnen Vorwürfe, auf welche Artikel diese sich stützen und für welche Perioden sie erhoben werden (vgl. auch obige lit. C). Bestreitet der Beschwerdeführer nicht, dass ein Anfangstatverdacht vorliege und macht dagegen auch keine Ausführungen, so kann die Beschwerdekammer den Tatverdacht nicht näher prüfen. Damit ist, aufgrund der Akten wie sie der Beschwerdekammer vorlie- gen, (knapp) von einem hinreichenden Anfangstatverdacht auszugehen.</w:t>
      </w:r>
    </w:p>
    <w:p>
      <w:r>
        <w:t>- 8 -</w:t>
      </w:r>
    </w:p>
    <w:p>
      <w:r>
        <w:rPr>
          <w:b/>
        </w:rPr>
        <w:t>E. 6.1</w:t>
      </w:r>
    </w:p>
    <w:p>
      <w:r>
        <w:t>Zu prüfen ist weiter, ob die Beschlagnahme verhältnismässig ist (vgl. zum Ganzen Urteil des Bundesgerichts 1B_539 2019 vom 19. März 2020 E. 3.2.3). Die EStV beschlagnahmte bei der B. AG Unterlagen / Daten und bei A. Daten. Nachdem sie die Daten gespiegelt hatte, gab sie die Computer zurück. Damit geht es vorliegend darum, ob es verhältnismässig war und ist, Beweismittel zu beschlagnahmen. Das Protokoll über die Beschlagnahme von Unterlagen bei der B. AG bezeichnet die einzelnen Sammelpositionen genau und diese stehen in wahrscheinlichem Bezug zur finanziellen Situa- tion von A. oder stellen Geschäftsunterlagen dar (vgl. BV.2019.34 act 2.2). A. lehnte einen Vorschlag der EStV, bei der B. AG beschlagnahmte und von der EStV nicht mehr benötigte Unterlagen zurückzugeben, am 23. August 2019 ab (act. 2.6); er bestand auf einer vollständigen Rückgabe. Er bezeich- net auch in seiner Beschwerde nicht einzelne, für das Verfahren unmassge- bliche Unterlagen. Die Beschwerdeführer machten in ihren Eingaben weiter nicht geltend, es seien Unterlagen mit strafrechtlich geschützten Berufsge- heimnissen betroffen und dies ist auch nicht erkennbar. Angesichts der weit- läufigen Strafuntersuchungen ist nicht erkennbar, inwieweit einzelne Unter- lagen dafür nicht erforderlich sein sollen. Die Rüge geht fehl. Die Beschwerdeführer verlangen auch die integrale Rückgabe der Daten. Die EStV bot ihrerseits keine teilweise Rückgabe an, da mit einer Aussonde- rung und Vernichtung einzelner Datensätze die Integrität der ursprünglich gesicherten Daten nicht mehr gewährleistet sei. Dies ist indes gerade die Aufgabe der Strafbehörde, so sind z.B. Dokumente mit Berufsgeheimnissen oder eindeutig private Daten wie Fotos oder Tagebücher freizugeben. Die Strafbehörde stellt auch dabei die Nachverfolgbarkeit und Datenintegrität si- cher. Freilich haben Beschwerdeführer die Verpflichtung mitzuwirken und die Daten genau zu bezeichnen, die ihnen zurückgegeben werden sollen. Dies haben sie unterlassen. Damit ist ihre Rüge unbegründet.</w:t>
      </w:r>
    </w:p>
    <w:p>
      <w:r>
        <w:rPr>
          <w:b/>
        </w:rPr>
        <w:t>E. 6.2</w:t>
      </w:r>
    </w:p>
    <w:p>
      <w:r>
        <w:t>Die Beschwerdeführer wenden sich gegen den Informationsaustausch mit kantonalen Steuerbehörden und machen, auch angesichts der Parallelität von Verwaltungsverfahren und Verwaltungsstrafverfahren, eine Verletzung von Art. 6 EMRK geltend. Art. 111 Abs. 1 DBG erlaubt einen solchen gegen- seitigen Informationsaustausch ausdrücklich, wie auch Art. 36 VStG. Diese Rüge ist unbegründet. Das Bundesgericht hielt in BGE 144 II 427 E. 2.3.1– 2.3.3 sodann fest, gegen den Zwang zur Selbstbelastung verstosse, wenn im steuerlichen Veranlagungsverfahren unter Strafandrohung erhobene Ak- ten später in einem Strafverfahren verwendet werden. Es verstosse demge- genüber nicht gegen Art. 6 EMRK, wenn Sachverhaltsermittlungen durch strafprozessual zulässige Zwangsmassnahmen im Veranlagungsverfahren</w:t>
      </w:r>
    </w:p>
    <w:p>
      <w:r>
        <w:t>- 9 -</w:t>
      </w:r>
    </w:p>
    <w:p>
      <w:r>
        <w:t>Verwendung finden. Zulässig ist auch, die im ASU-Verfahren erhobenen Ak- ten im Veranlagungsverfahren nutzen. Die Veranlagungsverfahren müssen auch nicht sistiert werden. Soweit für das vorliegende Verfahren überhaupt relevant, sind die Einwendungen der Beschwerdeführer unbegründet.</w:t>
      </w:r>
    </w:p>
    <w:p>
      <w:r>
        <w:rPr>
          <w:b/>
        </w:rPr>
        <w:t>E. 7</w:t>
      </w:r>
    </w:p>
    <w:p>
      <w:r>
        <w:t>Die erhobenen Rügen erweisen sich als unbegründet. Soweit auf die Be- schwerde einzutreten ist, ist sie damit abzuweisen.</w:t>
      </w:r>
    </w:p>
    <w:p>
      <w:r>
        <w:rPr>
          <w:b/>
        </w:rPr>
        <w:t>E. 8</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(BStKR; SR 173.713.162) an. Für die Kosten- verteilung zwischen den Parteien wird nach der Rechtsprechung des Bun- desstrafgerichts einerseits Art. 66 Abs. 1 BGG analog herangezogen (TPF 2011 25 E. 3). Bei Gerichtskosten greifen das Kostendeckungs- und Äquivalenzprinzip nicht (BGE 143 I 227 E. 4.3.1, 4.2.3; anders BGE 141 I 105 E. 3.3.2); Gerichtskosten werden indes in Anlehnung an das Verursa- cherprinzip in der Regel nach Obsiegen/Unterliegen verteilt (Beschluss des Bundesstrafgerichts BE.2013.16 vom 27. Februar 2014 E. 7; vgl. BGE 138 IV 225 E. 8.1 bis 8.2 zur Situation unter der StPO).</w:t>
      </w:r>
    </w:p>
    <w:p>
      <w:r>
        <w:t>Bei vorliegendem Ausgang des Verfahrens unterliegen die Beschwerdefüh- rer und werden damit kostenpflichtig (vgl. Art. 25 Abs. 4 VStrR). Die Ge- richtsgebühr ist in Anwendung von Art. 5 und 8 BStKR auf Fr. 3'000.-- fest- zusetzen und den Beschwerdeführern unter solidarischer Haftung aufzuer- 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