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BV.2019.32 vom 25. Februar 2020</w:t>
      </w:r>
    </w:p>
    <w:p>
      <w:r>
        <w:t>Bundesstrafgericht, 2020-02-25, IT</w:t>
      </w:r>
    </w:p>
    <w:p>
      <w:r>
        <w:rPr>
          <w:b/>
        </w:rPr>
        <w:t xml:space="preserve">Quelle: </w:t>
      </w:r>
      <w:r>
        <w:t>https://mcp.opencaselaw.ch/entscheid/bstger_BV.2019.32</w:t>
      </w:r>
    </w:p>
    <w:p>
      <w:r>
        <w:t>FR: TPF BV.2019.32 du 25 février 2020</w:t>
      </w:r>
    </w:p>
    <w:p>
      <w:r>
        <w:t>IT: TPF BV.2019.32 del 25 febbraio 2020</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w:t>
      </w:r>
    </w:p>
    <w:p>
      <w:r>
        <w:rPr>
          <w:b/>
        </w:rPr>
        <w:t>E. 1.2</w:t>
      </w:r>
    </w:p>
    <w:p>
      <w:r>
        <w:t>Nel caso di specie, la decisione impugnata emana da un funzionario subordi- nato al DFF ed è giunta a conoscenza del destinatario in data 16 settembre 2019 (v. act. 1.2). Il reclamo, pur non essendo stato presentato al Capo del Servizio giuridico del DFF come previsto dall’art. 26 cpv. 2 lett. b DPA, è stato interposto direttamente alla Corte dei reclami penali entro il termine di tre giorni previsto dall’art. 28 cpv. 3 DPA, autorità che lo ha trasmesso immediatamente (anticipandolo per posta elettronica) al DFF conformemente all’art. 28 cpv. 4</w:t>
      </w:r>
    </w:p>
    <w:p>
      <w:r>
        <w:t>- 5 -</w:t>
      </w:r>
    </w:p>
    <w:p>
      <w:r>
        <w:t>DPA (v. act. 2.3). Il capo del servizio giuridico del DFF ha quindi formulato le proprie osservazioni, le quali sono state inviate a questa Corte unitamente al ricorso stesso come previsto all’art. 27 cpv. 3 DPA. Ne consegue che la tempe- stività del gravame è pacifica.</w:t>
      </w:r>
    </w:p>
    <w:p>
      <w:r>
        <w:rPr>
          <w:b/>
        </w:rPr>
        <w:t>E. 1.3</w:t>
      </w:r>
    </w:p>
    <w:p>
      <w:r>
        <w:t>Il reclamante, intestatario dei conti oggetto della decisione di sequestro impu- gnata, ha senza dubbio un interesse degno di protezione all'annullamento o alla modifica della stessa. La sua legittimazione ad agire è dunque data (art. 28 cpv. 1 DPA).</w:t>
      </w:r>
    </w:p>
    <w:p>
      <w:r>
        <w:rPr>
          <w:b/>
        </w:rPr>
        <w:t>E. 2</w:t>
      </w:r>
    </w:p>
    <w:p>
      <w:r>
        <w:t>Con decisione del 25 novembre 2019, il DFF, preso atto della sentenza del Tri- bunale penale federale BV.2019.33 del 18 novembre 2019, che ha statuito sull’identica problematica oggetto della presente procedura, ha revocato il se- questro pronunciato il 13 settembre 2019 dei conti n. 2 (conto privato in franchi) e n. 3 (conto privato in euro) presso la banca C., Lugano, intestati ad A. (v. act. 16.1). Alla luce di ciò, il gravame è divenuto privo d’oggetto.</w:t>
      </w:r>
    </w:p>
    <w:p>
      <w:r>
        <w:rPr>
          <w:b/>
        </w:rPr>
        <w:t>E. 3</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sentenze del Tribunale penale federale BV.2015.21 del 15 dicembre 2015; BV.2012.36 del 12 settembre 2012; BV.2010.60 del 25 luglio 2011 consid. 5 e rinvio). Giusta gli art. 62 e segg. e 71 LTF in relazione con l’art. 72 PCF, quando una lite diventa senza oggetto o priva d'interesse giuridico per le parti, il tribunale, udite le parti ma senza ulteriore dibattimento, dichiara il processo terminato e statuisce, con motivazione sommaria, sulle spese, tenendo conto dello stato delle cose prima del verificarsi del motivo che termina la lite. In concreto, se il DFF non avesse revocato i sequestri contestati, avendo il TPF già statuito sulla stessa problematica a sfavore della predetta autorità in una parallela procedura (v. sentenza BV.2019.33 del 18 novembre 2019), non vi è ragione di ritenere che il ricorso avrebbe qui avuto un diverso esito.</w:t>
      </w:r>
    </w:p>
    <w:p>
      <w:r>
        <w:t>Ciò constatato, non si riscuotono emolumenti giudiziari. La cassa del Tribunale restituirà al reclamante l’anticipo delle spese di fr. 2'000.– già versato. Il DFF deve versare alla reclamante un'indennità per le spese sostenute ai fini di un adeguato esercizio dei suoi diritti procedurali. Non avendo il patrocinatore del reclamante presentato una sua nota d'onorario, questa Corte fissa l'onorario</w:t>
      </w:r>
    </w:p>
    <w:p>
      <w:r>
        <w:t>- 6 -</w:t>
      </w:r>
    </w:p>
    <w:p>
      <w:r>
        <w:t>secondo libero apprezzamento (art. 12 cpv. 2 del regolamento del 31 agosto 2010 sulle spese, gli emolumenti, le ripetibili e le indennità della procedura pe- nale federale [RSPPF; RS 173.713.162]). Giusta l'art. 12 cpv. 1 RSPPF, l'ono- rario è fissato secondo il tempo, comprovato e necessario, impiegato dall'avvo- cato per la causa e necessario alla difesa della parte rappresentata, tenuto pre- sente che l'indennità oraria ammonta almeno a fr. 200.– ed al massimo a fr. 300.–, come pure che in genere la tariffa oraria applicata dalla Corte dei re- clami del Tribunale penale federale ammonta a fr. 230.– all'ora (v. decisione del Tribunale penale federale BH.2012.3 del 6 marzo 201, consid. 10.1 e riferimenti citati). Nel caso concreto, in applicazione degli art. 10 e 12 cpv. 2 RSPPF, l'in- dennità è fissata ex bono et aequo a fr. 2’000.– (IVA esclusa, dato che il recla- mante ha il proprio domicilio all'estero, v. art. 1 cpv. 2 lett. a e 8 cpv. 1 della legge federale concernente l'imposta sul valore aggiunto; RS.641.20).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