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BV.2019.22 vom 19. Juli 2019</w:t>
      </w:r>
    </w:p>
    <w:p>
      <w:r>
        <w:t>Bundesstrafgericht, 2019-07-19, DE</w:t>
      </w:r>
    </w:p>
    <w:p>
      <w:r>
        <w:rPr>
          <w:b/>
        </w:rPr>
        <w:t xml:space="preserve">Quelle: </w:t>
      </w:r>
      <w:r>
        <w:t>https://mcp.opencaselaw.ch/entscheid/bstger_BV.2019.22</w:t>
      </w:r>
    </w:p>
    <w:p>
      <w:r>
        <w:t>FR: TPF BV.2019.22 du 19 juillet 2019</w:t>
      </w:r>
    </w:p>
    <w:p>
      <w:r>
        <w:t>IT: TPF BV.2019.22 del 19 luglio 2019</w:t>
      </w:r>
    </w:p>
    <w:p>
      <w:pPr>
        <w:pStyle w:val="Heading2"/>
      </w:pPr>
      <w:r>
        <w:t>Regeste</w:t>
      </w:r>
    </w:p>
    <w:p>
      <w:r>
        <w:t>Amtshandlung (Art. 27 Abs. 1 und 3 VStrR).</w:t>
      </w:r>
    </w:p>
    <w:p>
      <w:pPr>
        <w:pStyle w:val="Heading2"/>
      </w:pPr>
      <w:r>
        <w:t>Erwägungen</w:t>
      </w:r>
    </w:p>
    <w:p>
      <w:r>
        <w:rPr>
          <w:b/>
        </w:rPr>
        <w:t>E. 1.1</w:t>
      </w:r>
    </w:p>
    <w:p>
      <w:r>
        <w:t>Mit Datum vom 1. Januar 2019 ist das Bundesgesetz vom 29. September 2017 über Geldspiele (Geldspielgesetz, BGS; SR 935.51) in Kraft getreten. Es ersetzt unter anderem das auf diesen Zeitpunkt ausser Kraft getretene Spielbankengesetz. Nach Art. 134 Abs. 1 BGS ist bei Widerhandlungen im Zusammenhang mit den Spielbankenspielen und bei Hinterziehung der Spielbankenabgabe das VStrR anwendbar. Neue Verfahrensvorschriften sind durch alle Instanzen unverzüglich anzuwenden, ausser sie führten eine grundlegend neue Ordnung ein (BGE 129 V 113 E. 2.2; TSCHANNEN/ZIM- MERLI/MÜLLER, Allgemeines Verwaltungsrecht, 4. Aufl. 2014, S. 202). Verfol- gende Behörde im Sinne von Art. 20 Abs. 1 VStrR ist wie schon unter altem Recht das Sekretariat der ESBK (Art. 134 Abs. 2, Art. 104 Abs. 5 BGS). Das Sekretariat vertritt die ESBK vor eidgenössischen und kantonalen Gerichten (Art. 104 Abs. 5 BGS).</w:t>
      </w:r>
    </w:p>
    <w:p>
      <w:r>
        <w:rPr>
          <w:b/>
        </w:rPr>
        <w:t>E. 1.2</w:t>
      </w:r>
    </w:p>
    <w:p>
      <w:r>
        <w:t>Auch nach dem Inkrafttreten der Eidgenössischen Strafprozessordnung (StPO; SR 312.0) und des Strafbehördenorganisationsgesetzes des Bundes (StBOG; SR 173.71) am 1. Januar 2011 bleibt das VStrR auf Fälle der Bun- desgerichtsbarkeit in Verwaltungsstrafsachen weiterhin anwendbar. Das VStrR wurde durch die StPO (Anhang 1 Ziff. II/11) und das StBOG (Anhang Ziff. II/9) teilweise geändert. Die Bestimmungen der StPO sind insoweit er- gänzend oder sinngemäss anwendbar, als das VStrR dies ausdrücklich fest- 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 sichtigen (BGE 139 IV 246 E. 1.2 und E. 3.2; vgl. hierzu auch TPF 2016 55 E. 2.3; Beschluss des Bundesstrafgerichts BV.2017.26 vom 6. Septem- ber 2017 E. 1.2 und E. 1.3).</w:t>
      </w:r>
    </w:p>
    <w:p>
      <w:r>
        <w:rPr>
          <w:b/>
        </w:rPr>
        <w:t>E. 2.1</w:t>
      </w:r>
    </w:p>
    <w:p>
      <w:r>
        <w:t>Gegen einen Beschwerdeentscheid des Direktors oder Chefs der beteiligten Verwaltung kann innert drei Tagen bei der Beschwerdekammer des Bun- desstrafgerichts Beschwerde geführt werden, wobei nur die Verletzung von</w:t>
      </w:r>
    </w:p>
    <w:p>
      <w:r>
        <w:t>- 6 -</w:t>
      </w:r>
    </w:p>
    <w:p>
      <w:r>
        <w:t>Bundesrecht, einschliesslich Überschreitung oder Missbrauch des Ermes- sens gerügt werden kann (Art. 27 Abs. 3 VStrR i.V.m. Art. 37 Abs. 2 lit. b StBOG; Art. 28 Abs. 3 VStrR). Zur Beschwerde ist berechtigt, wer durch den Beschwerdeentscheid berührt ist und ein schutzwürdiges Interesse an der Aufhebung oder Änderung hat (Art. 28 Abs. 1 VStrR).</w:t>
      </w:r>
    </w:p>
    <w:p>
      <w:r>
        <w:rPr>
          <w:b/>
        </w:rPr>
        <w:t>E. 2.2</w:t>
      </w:r>
    </w:p>
    <w:p>
      <w:r>
        <w:t>Gegenstand der hier zu beurteilenden Beschwerde bildet der Beschwerde- entscheid des Direktors der Beschwerdegegnerin, den dieser am 23. Ap- ril 2019 gestützt auf Art. 27 VStrR erlassen hat. Die vorliegende Beschwerde wurde form- und fristgerecht erhoben. Der Beschwerdeführer ist durch den angefochtenen Beschwerdeentscheid berührt. Entsprechend hat er ein schutzwürdiges Interesse an dessen Aufhebung oder Änderung. Auf die Be- schwerde ist einzutreten.</w:t>
      </w:r>
    </w:p>
    <w:p>
      <w:r>
        <w:rPr>
          <w:b/>
        </w:rPr>
        <w:t>E. 3.1</w:t>
      </w:r>
    </w:p>
    <w:p>
      <w:r>
        <w:t>Gegen den Beschwerdeentscheid bringt der Beschwerdeführer vor, die Be- schwerdegegnerin habe einen Sachentscheid erlassen, bevor die erste Be- schwerde durch das Bundesstrafgericht und allfällig weitere Rechtsmittelbe- hörden entschieden worden sei. So habe der Beschwerdeführer in jenem Parallelverfahren beantragt, die Beschwerdegegnerin sei anzuweisen, das gegen ihn geführte Verfahren wieder aufzunehmen. Dies sei damit begrün- det worden, dass die Beschwerdegegnerin rechtswidrig erhobene Beweis- mittel verwendet habe. Zudem und damit zusammenhängend seien die dem Beschwerdeführer vorgelegten Akten unvollständig (act. 1 S. 4).</w:t>
      </w:r>
    </w:p>
    <w:p>
      <w:r>
        <w:rPr>
          <w:b/>
        </w:rPr>
        <w:t>E. 3.2</w:t>
      </w:r>
    </w:p>
    <w:p>
      <w:r>
        <w:t>Im Beschwerdeverfahren BV.2019.19 (s. supra lit. J) stellt der Beschwerde- führer mit seiner Beschwerde das Hauptbegehren um Feststellung der Rechtswidrigkeit einer Untersuchungsmassnahme aus dem Jahre 2015 und Wiederaufnahme des Verwaltungsstrafverfahrens. Sein Feststellungsbe- gehren bezieht sich auf eine Verwaltungsstrafsache, welche sich bereits im Rechtsmittelverfahren befindet. Mit Beschluss BV.2019.19 vom 19. Juli 2019 wird ausgeführt, weshalb seine beschwerdeweise Erhebung des Feststel- lungsbegehrens unzulässig ist. Um unnötige Wiederholungen zu vermeiden, ist vollumfänglich auf die Erwägungen im vorgenannten Beschluss zu ver- weisen. Damit geht einher, dass der Beschwerdeführer durch die beschwer- deweise Erhebung eines Feststellungsbegehrens auch nicht das dem vorlie- genden Beschwerdeverfahren zugrunde liegende Rechtsmittelverfahren, namentlich nicht den Beschwerdeentscheid, hinauszögern kann. Der Be- schwerdeführer dringt nach dem Gesagten mit seiner Rüge nicht durch.</w:t>
      </w:r>
    </w:p>
    <w:p>
      <w:r>
        <w:t>- 7 -</w:t>
      </w:r>
    </w:p>
    <w:p>
      <w:r>
        <w:rPr>
          <w:b/>
        </w:rPr>
        <w:t>E. 4.1</w:t>
      </w:r>
    </w:p>
    <w:p>
      <w:r>
        <w:t>Wie supra unter lit. F dargelegt, trat die Beschwerdegegnerin mit Nichtein- tretensentscheid vom 27. März 2019 auf die Einsprache des Beschwerde- führers aufgrund verspäteter Eingabe bzw. mangelnder Begründung nicht ein (Verfahrensakten ESBK, pag. 07 084 ff.). Mit Beschwerdeentscheid vom 23. April 2019 wies der Direktor der Beschwerdegegnerin die Beschwerde gegen diesen Nichteintretensentscheid ab, soweit er darauf eintrat (Verfah- rensakten ESBK, pag. 07 098 ff.; s. supra lit. H). Er hielt darin fest, dass auf die Einsprache zu Recht nicht eingetreten worden sei, weil der Beschwerde- führer die Einsprachefrist verpasst habe (Verfahrensakten ESBK, pag. 07 098 ff.; S. 5).</w:t>
      </w:r>
    </w:p>
    <w:p>
      <w:r>
        <w:rPr>
          <w:b/>
        </w:rPr>
        <w:t>E. 4.2</w:t>
      </w:r>
    </w:p>
    <w:p>
      <w:r>
        <w:t>Gemäss Art. 67 Abs. 1 VStrR ist innert 30 Tagen seit der Eröffnung Einspra- che gegen den Strafbescheid zu erheben. Die Einsprache ist schriftlich bei der Verwaltung einzureichen, die den angefochtenen Bescheid erlassen hat (Art. 68 Abs. 1 VStrR). Die Einsprache hat einen bestimmten Antrag zu ent- halten und die zur Begründung dienenden Tatsachen anzugeben; die Be- weismittel sollen bezeichnet und, soweit möglich, beigelegt werden (Art. 68 Abs. 2 VStrR). Genügt die Einsprache den in Abs. 2 umschriebenen Anfor- derungen nicht, oder lassen die Begehren des Einsprechers oder deren Be- gründung die nötige Klarheit vermissen und stellt sich die Einsprache nicht als offensichtlich unzulässig heraus, so wird dem Einsprecher eine kurze Nachfrist zur Verbesserung eingeräumt (Art. 68 Abs. 3 VStrR). Gemäss Art. 68 Abs. 4 VStrR verbindet die Verwaltung diese Nachfrist mit der Andro- hung, nach unbenutztem Fristablauf auf Grund der Akten zu entscheiden o- der, wenn Begehren, Begründung oder Unterschrift fehlen, auf die Einspra- che nicht einzutreten.</w:t>
      </w:r>
    </w:p>
    <w:p>
      <w:r>
        <w:rPr>
          <w:b/>
        </w:rPr>
        <w:t>E. 4.3</w:t>
      </w:r>
    </w:p>
    <w:p>
      <w:r>
        <w:t>Vorliegend ist offensichtlich, dass der Beschwerdeführer die Einsprachefrist bzw. die ihm in Anwendung von Art. 68 Abs. 4 VStrR angesetzte Nachfrist zur Verbesserung verpasst hat (s. supra lit. D und E). Den diesbezüglichen Erwägungen im angefochtenen Beschwerdeentscheid kann ohne weiteres gefolgt werden, weshalb darauf vollumfänglich zu verweisen ist. Der Be- schwerdeführer hält diesen Ausführungen auch nichts entgegen und äussert sich mit keinem Wort zur Frage der Frist. Vielmehr macht er in seiner Be- schwerde zur Hauptsache ausschliesslich Verstösse gegen Verfahrensbe- stimmungen im Verwaltungsstrafverfahren geltend, welche indes die vorlie- gend massgebliche Frage der Frist nicht berühren. Nach dem Gesagten ist die Beschwerde abzuweisen. Auf die Rügen in der Sache ist bei diesem Prü- fungsergebnis nicht einzugehen.</w:t>
      </w:r>
    </w:p>
    <w:p>
      <w:r>
        <w:t>- 8 -</w:t>
      </w:r>
    </w:p>
    <w:p>
      <w:r>
        <w:rPr>
          <w:b/>
        </w:rPr>
        <w:t>E. 5</w:t>
      </w:r>
    </w:p>
    <w:p>
      <w:r>
        <w:t>Bei diesem Ausgang des Verfahrens sind die Gerichtskosten dem Be- schwerdeführer aufzuerlegen (Art. 66 Abs. 1 BGG analog; TPF 2011 25 E. 3). Die Gerichtsgebühr ist auf Fr. 2’000.-- festzusetzen (Art. 25 Abs. 4 VStrR i.V.m. Art. 73 StBOG und Art. 5 und 8 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