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BV.2019.21 vom 17. Juni 2019</w:t>
      </w:r>
    </w:p>
    <w:p>
      <w:r>
        <w:t>Bundesstrafgericht, 2019-06-17, DE</w:t>
      </w:r>
    </w:p>
    <w:p>
      <w:r>
        <w:rPr>
          <w:b/>
        </w:rPr>
        <w:t xml:space="preserve">Quelle: </w:t>
      </w:r>
      <w:r>
        <w:t>https://mcp.opencaselaw.ch/entscheid/bstger_BV.2019.21</w:t>
      </w:r>
    </w:p>
    <w:p>
      <w:r>
        <w:t>FR: TPF BV.2019.21 du 17 juin 2019</w:t>
      </w:r>
    </w:p>
    <w:p>
      <w:r>
        <w:t>IT: TPF BV.2019.21 del 17 giugno 2019</w:t>
      </w:r>
    </w:p>
    <w:p>
      <w:pPr>
        <w:pStyle w:val="Heading2"/>
      </w:pPr>
      <w:r>
        <w:t>Regeste</w:t>
      </w:r>
    </w:p>
    <w:p>
      <w:r>
        <w:t>Amtshandlung (Art. 26 Abs. 1 und 3 VStrR). Abweisung Siegelungsantrag (Art. 50 Abs. 3 VStrR).</w:t>
      </w:r>
    </w:p>
    <w:p>
      <w:pPr>
        <w:pStyle w:val="Heading2"/>
      </w:pPr>
      <w:r>
        <w:t>Erwägungen</w:t>
      </w:r>
    </w:p>
    <w:p>
      <w:r>
        <w:rPr>
          <w:b/>
        </w:rPr>
        <w:t>E. 1.1</w:t>
      </w:r>
    </w:p>
    <w:p>
      <w:r>
        <w:t>Das Verfahren wegen des Verdachts schwerer Steuerwiderhandlungen ge- genüber dem Täter, dem Gehilfen und dem Anstifter richtet sich gemäss Art. 191 Abs. 1 DBG nach den Artikeln 19-50 des Bundesgesetzes vom 22. März 1974 über das Verwaltungsstrafrecht (VStrR; SR 313.0). Bei der Verfolgung von Widerhandlungen gegen das Verrechnungssteuergesetz fin- det ebenfalls das VStrR Anwendung und die ESTV ist die verfolgende und urteilende Verwaltungsbehörde (Art. 67 Abs. 1 VStG).</w:t>
      </w:r>
    </w:p>
    <w:p>
      <w:r>
        <w:rPr>
          <w:b/>
        </w:rPr>
        <w:t>E. 1.2</w:t>
      </w:r>
    </w:p>
    <w:p>
      <w:r>
        <w:t>Soweit das VStrR einzelne Fragen nicht abschliessend regelt, sind die Be- stimmungen der StPO grundsätzlich analog anwendbar. Die allgemeinen strafprozessualen und verfassungsrechtlichen Grundsätze sind jedenfalls auch im Verwaltungsstrafverfahren zu berücksichtigen (BGE 139 IV 246 E. 1.2 und E. 3.2; vgl. hierzu auch TPF 2016 55 E. 2.3; Beschluss des Bun- desstrafgerichts BV.2017.26 vom 6. September 2017 E. 1.2 und E. 1.3).</w:t>
      </w:r>
    </w:p>
    <w:p>
      <w:r>
        <w:t>- 4 -</w:t>
      </w:r>
    </w:p>
    <w:p>
      <w:r>
        <w:rPr>
          <w:b/>
        </w:rPr>
        <w:t>E. 2.1</w:t>
      </w:r>
    </w:p>
    <w:p>
      <w:r>
        <w:t>Gegen Zwangsmassnahmen im Sinne der Art. 45 ff. VStrR und damit zu- sammenhängende Amtshandlungen kann bei der Beschwerdekammer des Bundesstrafgerichts Beschwerde geführt werden (Art. 26 Abs. 1 VStrR i.V.m. Art. 37 Abs. 2 lit. b StBOG). Mit der Beschwerde kann die Verletzung von Bundesrecht, die unrichtige oder unvollständige Feststellung des Sachver- halts oder die Unangemessenheit gerügt werden (Art. 28 Abs. 2 VStrR). Die Beschwerde ist innert drei Tagen, nachdem der Beschwerdeführer von der Amtshandlung Kenntnis hat, bei der zuständigen Behörde schriftlich mit An- trag und kurzer Begründung einzureichen (Art. 28 Abs. 3 VStrR). Ist die Be- schwerde nicht gegen den Direktor oder Chef der beteiligten Verwaltung ge- richtet, ist sie bei diesem einzureichen (Art. 26 Abs. 2 lit. b VStrR). Berichtigt derselbe die angefochtene Amtshandlung nicht im Sinne der gestellten An- träge, hat er die Beschwerde mit seiner Äusserung spätestens am dritten Werktag nach ihrem Eingang an die Beschwerdekammer weiterzuleiten (Art. 26 Abs. 3 VStrR). Zur Beschwerde ist berechtigt, wer durch die ange- fochtene Amtshandlung berührt ist und ein schutzwürdiges Interesse an de- ren Aufhebung oder Änderung hat (Art. 28 Abs. 1 VStrR).</w:t>
      </w:r>
    </w:p>
    <w:p>
      <w:r>
        <w:rPr>
          <w:b/>
        </w:rPr>
        <w:t>E. 2.2</w:t>
      </w:r>
    </w:p>
    <w:p>
      <w:r>
        <w:t>Die Beschwerdeführerin ist Inhaberin der anlässlich der Hausdurchsuchung vom 8. März 2019 sichergestellten Akten und Datenträger. Als solche ist sie durch die Verfügung der Beschwerdegegnerin, mit welcher diese das Ge- such der Beschwerdeführerin um Siegelung ablehnt, berührt und hat ein schutzwürdiges Interesse an deren Aufhebung oder Änderung. Auf die im Übrigen frist- und formgerecht eingereichte Beschwerde ist daher einzutre- ten.</w:t>
      </w:r>
    </w:p>
    <w:p>
      <w:r>
        <w:rPr>
          <w:b/>
        </w:rPr>
        <w:t>E. 3.1</w:t>
      </w:r>
    </w:p>
    <w:p>
      <w:r>
        <w:t>Eine Versiegelung erfolgt, wenn vom Inhaber der in Frage stehenden Akten bzw. im Falle einer juristischen Person von einem ihrer zuständigen Organe gegen die Durchsuchung Einsprache erhoben wird (Art. 50 Abs. 3 VStrR). Ist der Inhaber bei der Durchsuchung anwesend, ist zu erwarten, dass er unmittelbar, d.h. nach Schluss der Durchsuchung, gegen sie Einsprache er- hebt (BGE 114 Ib 367 E. 4; Urteile des Bundesgerichts 1B_516/2012 vom 9. Januar 2013 E. 2.3; 1B_320/2012 vom 14. Dezember 2012 E. 4.1.2). Wird Einsprache verlangt, hat der Inhaber dabei eigene Interessen geltend zu ma- chen. Der Inhaber ist grundsätzlich nicht legitimiert, allfällige Geheimnis- schutzinteressen Dritter in seinem eigenen Namen geltend zu machen. Wird die Siegelung im Auftrag eines Dritten verlangt, ist dies ein Hinweis darauf, dass nicht eigene Interessen geltend gemacht werden, weshalb das Siege- lungsgesuch abzulehnen ist (Urteile des Bundesgerichts 1B_303/2013 vom</w:t>
      </w:r>
    </w:p>
    <w:p>
      <w:r>
        <w:t>- 5 -</w:t>
      </w:r>
    </w:p>
    <w:p>
      <w:r>
        <w:t>21. März 2014 E. 6; 1B_322/2013 E. 1.1; 1B_492/2012 vom 2. Februar 2012, E. 2.1 und 2.3; Entscheide des Bundesstrafgerichts BE.2008.4 vom 26. Juni 2008 E. 1.3; BE.2006.7 vom 20. Februar 2007 E. 5).</w:t>
      </w:r>
    </w:p>
    <w:p>
      <w:r>
        <w:rPr>
          <w:b/>
        </w:rPr>
        <w:t>E. 3.2</w:t>
      </w:r>
    </w:p>
    <w:p>
      <w:r>
        <w:t>Die Beschwerdegegnerin wies den Antrag auf Siegelung mit der Begründung ab, dass sich der an der Hausdurchsuchung anwesende H. unmittelbar einer Durchsuchung der Unterlagen hätte widersetzen müssen. Die tags darauf erklärte Einsprache sei zu spät erfolgt. Ausserdem liege keine plausible Be- gründung für eine nachträgliche Versiegelung der am 5. März 2019 sicher- gestellten Akten vor (act. 2.10 S. 2). Es ist unbestritten, dass der einzelzeich- nungsberechtigte Verwaltungsrat der Beschwerdeführerin, H., an der Haus- durchsuchung vom 5. März 2019 in den Räumlichkeiten der Beschwerdefüh- rerin zugegen war. Den Akten ist zu entnehmen, dass er über den Grund der Durchsuchung unterrichtet und auf die Bestimmungen von Art. 50 Abs. 3 VStrR und Art. 26-28 VStrR hingewiesen worden war (act. 2.4). Die Be- schwerdegegnerin führt hierzu aus, dass H. bereits zu Beginn der Haus- durchsuchung über die Möglichkeit einer Einsprache und deren Folgen (Ent- siegelungsverfahren bzw. Kostenfolgen) orientiert worden sei. Praxisgemäss sei H. sodann während der Hausdurchsuchung wiederholt auf das Siege- lungsrecht hingewiesen worden, zuletzt bei der Ausfertigung des Protokolls über die sichergestellten Akten (act. 2 S. 4). Demgegenüber macht die Be- schwerdeführerin geltend, H. sei als juristischer Laie nicht hinreichend über das Siegelungsrecht, die kurze Verwirkungsfrist und die Folgen einer unter- lassenen Siegelung informiert worden (act. 1 S. 6). Zunächst ist festzuhalten, dass es sich bei der Beschwerdeführerin um eine Treuhandgesellschaft han- delt und dass H. als einzelzeichnungsberechtigter Verwaltungsrat der Be- schwerdeführerin über gewisse grundlegende juristische Kenntnisse verfü- gen dürfte. Der Argumentation der Beschwerdeführerin widerspricht sodann der Umstand, dass H. mit Schreiben vom 6. März 2019, mit welchem er nach- träglich die Siegelung verlangte, nicht etwa geltend machte, er habe die Bestimmungen zur Siegelung nicht verstanden bzw. sei einem Irrtum oder einem anderen Willensmangel unterlegen oder er sei von der Beschwerde- gegnerin nicht hinreichend auf seine Rechte informiert worden, als er auf die Siegelung verzichtet hatte. Aus dem Schreiben geht vielmehr hervor, dass die Siegelung ausschliesslich im Interesse Dritter verlangt worden ist. Als einzige Begründung für die Siegelung wird nämlich ausgeführt: «Unsere Mandanten und deren Anwalt dringen jedoch darauf, dass diese Akten- schachteln nachträglich versiegelt werden» (act. 2.5). Gestützt auf die dar- gelegte Rechtsprechung war die Beschwerdeführerin jedoch nicht legitimiert, allfällige Geheimnisschutzinteressen Dritter in ihrem eigenen Namen geltend</w:t>
      </w:r>
    </w:p>
    <w:p>
      <w:r>
        <w:t>- 6 -</w:t>
      </w:r>
    </w:p>
    <w:p>
      <w:r>
        <w:t>zu machen. Der nachträglich gestellte Siegelungsantrag wurde daher im Er- gebnis zu Recht abgewiesen. Ob der Siegelungsantrag fristgerecht gestellt worden ist, braucht unter diesen Umständen nicht geprüft zu werden.</w:t>
      </w:r>
    </w:p>
    <w:p>
      <w:r>
        <w:t>Zusammenfassend erweist sich die Beschwerde als unbegründet, weshalb sie abzuweisen ist.</w:t>
      </w:r>
    </w:p>
    <w:p>
      <w:r>
        <w:rPr>
          <w:b/>
        </w:rPr>
        <w:t>E. 4</w:t>
      </w:r>
    </w:p>
    <w:p>
      <w:r>
        <w:t>Bei diesem Ausgang des Verfahrens hat die unterliegende Beschwerdefüh- rerin die Gerichtskosten zu tragen (Art. 25 Abs. 4 VStrR i.V.m. Art. 66 Abs. 1 und Abs. 5 BGG analog; vgl. dazu TPF 2011 25 E. 3). Die Gerichtsgebühr ist auf Fr. 2'000.-- festzusetzen (Art. 25 Abs. 4 VStrR i.V.m. Art. 73 StBOG und Art. 5 sowie Art. 8 Abs. 1 BStKR), unter Anrechnung des geleisteten Kostenvorschusses in derselben Höhe.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