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BV.2019.19 vom 19. Juli 2019</w:t>
      </w:r>
    </w:p>
    <w:p>
      <w:r>
        <w:t>Bundesstrafgericht, 2019-07-19, DE</w:t>
      </w:r>
    </w:p>
    <w:p>
      <w:r>
        <w:rPr>
          <w:b/>
        </w:rPr>
        <w:t xml:space="preserve">Quelle: </w:t>
      </w:r>
      <w:r>
        <w:t>https://mcp.opencaselaw.ch/entscheid/bstger_BV.2019.19</w:t>
      </w:r>
    </w:p>
    <w:p>
      <w:r>
        <w:t>FR: TPF BV.2019.19 du 19 juillet 2019</w:t>
      </w:r>
    </w:p>
    <w:p>
      <w:r>
        <w:t>IT: TPF BV.2019.19 del 19 luglio 2019</w:t>
      </w:r>
    </w:p>
    <w:p>
      <w:pPr>
        <w:pStyle w:val="Heading2"/>
      </w:pPr>
      <w:r>
        <w:t>Regeste</w:t>
      </w:r>
    </w:p>
    <w:p>
      <w:r>
        <w:t>Feststellungsbegehren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Mit Datum vom 1. Januar 2019 ist das Bundesgesetz vom 29. September 2017 über Geldspiele (Geldspielgesetz [BGS]; SR 935.51) in Kraft getreten. Es ersetzt unter anderem das auf diesen Zeitpunkt ausser Kraft getretene Bundesgesetz vom 18. Dezember 1998 über Glücksspiele und Spielbanken (Spielbankengesetz [SBG]; AS 2000 677, 2006 2197 5599, 2018 5103; s. auch historische SR-Fassung 935.52). Nach Art. 134 Abs. 1 BGS ist bei Widerhandlungen im Zusammenhang mit den Spielbankenspielen und bei Hinterziehung der Spielbankenabgabe das VStrR anwendbar. Neue Verfah- rensvorschriften sind durch alle Instanzen unverzüglich anzuwenden, ausser sie führten eine grundlegend neue Ordnung ein (BGE 129 V 113 E. 2.2; TSCHANNEN/ZIMMERLI/MÜLLER, Allgemeines Verwaltungsrecht, 4. Aufl. 2014, S. 202). Verfolgende Behörde im Sinne von Art. 20 Abs. 1 VStrR ist wie schon unter altem Recht das Sekretariat der ESBK (Art. 134 Abs. 2, Art. 104 Abs. 5 BGS). Das Sekretariat vertritt die ESBK vor eidgenössischen und kan- tonalen Gerichten (Art. 104 Abs. 5 BGS).</w:t>
      </w:r>
    </w:p>
    <w:p>
      <w:r>
        <w:rPr>
          <w:b/>
        </w:rPr>
        <w:t>E. 1.2</w:t>
      </w:r>
    </w:p>
    <w:p>
      <w:r>
        <w:t>Auch nach dem Inkrafttreten der Eidgenössischen Strafprozessordnung (StPO; SR 312.0) und des Strafbehördenorganisationsgesetzes des Bundes (StBOG; SR 173.71) am 1. Januar 2011 bleibt das VStrR auf Fälle der Bun- desgerichtsbarkeit in Verwaltungsstrafsachen weiterhin anwendbar. Das VStrR wurde durch die StPO (Anhang 1 Ziff. II/11) und das StBOG (Anhang Ziff. II/9) teilweise geändert. Die Bestimmungen der StPO sind insoweit er- gänzend oder sinngemäss anwendbar, als das VStrR dies ausdrücklich fest- legt (vgl. Art. 22, Art. 30 Abs. 2-3, Art. 31 Abs. 2, Art. 41 Abs. 2, Art. 43 Abs. 2, Art. 58 Abs. 3, Art. 60 Abs. 2, Art. 80 Abs. 1, Art. 82, Art. 89 und Art. 97 Abs. 1 VStrR). Soweit das VStrR einzelne Fragen nicht abschliessend regelt, sind die Bestimmungen der StPO grundsätzlich analog anwendbar (BGE 139 IV 246 E. 1.2 S. 248, E. 3.2 S. 249; Urteile des Bundesgerichts 1B_210/2017 vom 23. Oktober 2017 E. 1.1; 1B_91/2016 vom 4. August 2016 E. 4.1; zum Ganzen Urteil des Bundesgerichts 1B_433/2017 vom 21. März 2018 E. 1.1). Die allgemeinen strafprozessualen und verfassungsrechtlichen Grundsätze sind jedenfalls auch im Verwaltungsstrafverfahren zu berück- sichtigen (BGE 139 IV 246 E. 1.2 und E. 3.2; vgl. hierzu auch TPF 2016 55 E. 2.3; Beschluss des Bundesstrafgerichts BV.2017.26 vom 6. September 2017 E. 1.2 und E. 1.3).</w:t>
      </w:r>
    </w:p>
    <w:p>
      <w:r>
        <w:rPr>
          <w:b/>
        </w:rPr>
        <w:t>E. 1.3</w:t>
      </w:r>
    </w:p>
    <w:p>
      <w:r>
        <w:t>Gegen Zwangsmassnahmen im Sinne der Art. 45 ff. VStrR und damit zu- sammenhängende Amtshandlungen kann bei der Beschwerdekammer des Bundesstrafgerichts Beschwerde geführt werden (Art. 26 Abs. 1 VStrR i.V.m.</w:t>
      </w:r>
    </w:p>
    <w:p>
      <w:r>
        <w:t>- 5 -</w:t>
      </w:r>
    </w:p>
    <w:p>
      <w:r>
        <w:t>Art. 37 Abs. 2 lit. b StBOG). Mit der Beschwerde kann die Verletzung von Bundesrecht, die unrichtige oder unvollständige Feststellung des Sachver- halts oder die Unangemessenheit gerügt werden (Art. 28 Abs. 2 VStrR). Die Beschwerde ist innert drei Tagen, nachdem der Beschwerdeführer von der Amtshandlung Kenntnis hat, bei der zuständigen Behörde schriftlich mit An- trag und kurzer Begründung einzureichen (Art. 28 Abs. 3 VStrR). Ist die Be- schwerde nicht gegen den Direktor oder Chef der beteiligten Verwaltung ge- richtet, ist sie bei diesem einzureichen (Art. 26 Abs. 2 lit. b VStrR). Berichtigt derselbe die angefochtene Amtshandlung nicht im Sinne der gestellten An- träge, hat er die Beschwerde mit seiner Äusserung spätestens am dritten Werktag nach ihrem Eingang an die Beschwerdekammer weiterzuleiten (Art. 26 Abs. 3 VStrR).</w:t>
      </w:r>
    </w:p>
    <w:p>
      <w:r>
        <w:rPr>
          <w:b/>
        </w:rPr>
        <w:t>E. 1.4</w:t>
      </w:r>
    </w:p>
    <w:p>
      <w:r>
        <w:t>Soweit nicht die Beschwerde nach Art. 26 VStrR (Beschwerde gegen Zwangsmassnahmen) gegeben ist, kann gemäss Art. 27 VStrR gegen Amts- handlungen und gegen Säumnis des untersuchenden Beamten beim Direk- tor oder Chef der beteiligten Verwaltung Beschwerde geführt werden. Der Beschwerdeentscheid (des Direktors oder Chefs) ist dem Beschwerdeführer schriftlich mitzuteilen und hat eine Rechtsmittelbelehrung zu enthalten. Ge- gen den Beschwerdeentscheid kann bei der Beschwerdekammer des Bun- desstrafgerichts Beschwerde geführt werden (Art. 27 VStrR). Zur Be- schwerde berechtigt ist, wer durch die angefochtene Amtshandlung, die ge- rügte Säumnis oder den Beschwerdeentscheid berührt ist und ein schutz- würdiges Interesse an der Aufhebung oder Änderung hat (Art. 28 Abs. 1 VStrR). Während mit der Beschwerde gegen Zwangsmassnahmen auch die unrichtige oder unvollständige Feststellung des Sachverhalts und die Unan- gemessenheit gerügt werden kann (Art. 28 Abs. 2 VStrR), ist die Beschwerde gegen gestützt auf Art. 27 VStrR ergangene Beschwerdeentscheide nur we- gen Verletzung von Bundesrecht, einschliesslich Überschreitung oder Miss- brauch des Ermessens zulässig (Art. 27 Abs. 3 VStrR).</w:t>
      </w:r>
    </w:p>
    <w:p>
      <w:r>
        <w:rPr>
          <w:b/>
        </w:rPr>
        <w:t>E. 2</w:t>
      </w:r>
    </w:p>
    <w:p>
      <w:r>
        <w:t>Aufl. 2016, Art. 25 N. 21 f.; WEBER-DÜRLER/KUNZ-NOTTER, in: VwVG Bun- desgesetz über das Verwaltungsverfahren Kommentar, Auer/Müller/Schind- ler [Hrsg.], 2. Aufl. 2019, Art. 25 N. 20 f.; jeweils mit Hinweisen auf Recht- sprechung und Lehre).</w:t>
      </w:r>
    </w:p>
    <w:p>
      <w:r>
        <w:rPr>
          <w:b/>
        </w:rPr>
        <w:t>E. 2.1</w:t>
      </w:r>
    </w:p>
    <w:p>
      <w:r>
        <w:t>Es kann vorliegend aus nachfolgenden Gründen dahingestellt bleiben, ob die Beurteilung des Feststellungsbegehrens des Beschwerdeführers nach Art. 26 VStrR oder Art. 27 VStrR zu erfolgen hat oder allenfalls andere Ver- fahrensbestimmungen heranzuziehen sind.</w:t>
      </w:r>
    </w:p>
    <w:p>
      <w:r>
        <w:rPr>
          <w:b/>
        </w:rPr>
        <w:t>E. 2.2</w:t>
      </w:r>
    </w:p>
    <w:p>
      <w:r>
        <w:t>Der Beschwerdeführer ficht vorliegend weder eine Zwangsmassnahme noch eine Amtshandlung direkt an. In diesem Sinne liegt gar kein Anfechtungsob- jekt vor. Der Beschwerdeführer stellt mit seiner Beschwerde das Hauptbe-</w:t>
      </w:r>
    </w:p>
    <w:p>
      <w:r>
        <w:t>- 6 -</w:t>
      </w:r>
    </w:p>
    <w:p>
      <w:r>
        <w:t>gehren um Feststellung der Rechtswidrigkeit einer Untersuchungsmass- nahme aus dem Jahre 2015 und gestützt darauf den Antrag auf Wiederauf- nahme des Verwaltungsstrafverfahrens. Sein Feststellungsbegehren be- zieht sich auf eine Verwaltungsstrafsache, welche sich bereits im Rechtsmit- telverfahren befindet (Beschwerdeverfahren BV.2019.22, act. 1; s. supra lit. D). Er verfolgt damit sein Anliegen (Aufhebung des Strafbescheids bzw. Nichteintretensentscheids; s. supra lit. C und D) nunmehr auch als Feststel- lungsbegehren. Ist in der Sache bereits ein Entscheid ergangen, kann dieser nicht mit einem Feststellungsbegehren im Rahmen einer separaten Be- schwerde infrage gestellt werden. Angesichts der Subsidiarität des Feststel- lungsbegehrens stehen hierzu vielmehr die ordentlichen Rechtsmittel zur Verfügung, welche der Beschwerdeführer auch ergriffen hat (s. supra lit. B bis D; Beschwerdeverfahren BV.2019.22). Die Nachteile einer allenfalls ver- passten Einsprache- bzw. Rechtsmittelfrist können nicht durch die be- schwerdeweise Erhebung eines Feststellungsbegehrens ausgeräumt wer- den. Es gilt die Einmaligkeit des Rechtsschutzes (s. HÄNER, in: Praxiskom- mentar Verwaltungsverfahrensgesetz, Waldmann/Weissenberger [Hrsg.],</w:t>
      </w:r>
    </w:p>
    <w:p>
      <w:r>
        <w:rPr>
          <w:b/>
        </w:rPr>
        <w:t>E. 2.3</w:t>
      </w:r>
    </w:p>
    <w:p>
      <w:r>
        <w:t>Nach dem Gesagten erweist sich die vorliegende Beschwerde als unzuläs- sig. Auf die Beschwerde ist daher bereits aus diesem Grund nicht einzutre- ten.</w:t>
      </w:r>
    </w:p>
    <w:p>
      <w:r>
        <w:rPr>
          <w:b/>
        </w:rPr>
        <w:t>E. 3</w:t>
      </w:r>
    </w:p>
    <w:p>
      <w:r>
        <w:t>Bei diesem Ausgang des Verfahrens hat der Beschwerdeführer die Gerichts- kosten zu tragen (Art. 66 Abs. 1 BGG analog; vgl. TPF 2011 25 E. 3). Die Gerichtsgebühr ist auf Fr. 2‘000.-- festzusetzen, unter Anrechnung des ge- leisteten Kostenvorschusses in gleicher Höhe (Art. 25 Abs. 4 VStrR i.V.m. Art. 73 StBOG und Art. 5 und 8 Abs. 1 des Reglements des Bundesstrafge- richts vom 31. August 2010 über die Kosten, Gebühren und Entschädigun- gen in Bundesstrafverfahren [BStKR; SR 173.713.162]).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