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BV.2019.13 vom 13. August 2019</w:t>
      </w:r>
    </w:p>
    <w:p>
      <w:r>
        <w:t>Bundesstrafgericht, 2019-08-13, DE</w:t>
      </w:r>
    </w:p>
    <w:p>
      <w:r>
        <w:rPr>
          <w:b/>
        </w:rPr>
        <w:t xml:space="preserve">Quelle: </w:t>
      </w:r>
      <w:r>
        <w:t>https://mcp.opencaselaw.ch/entscheid/bstger_BV.2019.13</w:t>
      </w:r>
    </w:p>
    <w:p>
      <w:r>
        <w:t>FR: TPF BV.2019.13 du 13 août 2019</w:t>
      </w:r>
    </w:p>
    <w:p>
      <w:r>
        <w:t>IT: TPF BV.2019.13 del 13 agosto 2019</w:t>
      </w:r>
    </w:p>
    <w:p>
      <w:pPr>
        <w:pStyle w:val="Heading2"/>
      </w:pPr>
      <w:r>
        <w:t>Regeste</w:t>
      </w:r>
    </w:p>
    <w:p>
      <w:r>
        <w:t>Beschlagnahme (Art. 46 f. VStrR).</w:t>
      </w:r>
    </w:p>
    <w:p>
      <w:pPr>
        <w:pStyle w:val="Heading2"/>
      </w:pPr>
      <w:r>
        <w:t>Erwägungen</w:t>
      </w:r>
    </w:p>
    <w:p>
      <w:r>
        <w:rPr>
          <w:b/>
        </w:rPr>
        <w:t>E. 1</w:t>
      </w:r>
    </w:p>
    <w:p>
      <w:r>
        <w:t>Nach dem Grundsatz der Prozessökonomie sind Verfahren möglichst ein- fach, rasch und zweckmässig zum Abschluss zu bringen (BGE 126 V 283 E. 1 S. 285). Es steht im Ermessen des Gerichts, Verfahren nach diesem Grundsatz zu vereinen (siehe etwa Beschluss des Bundesstrafgerichts BV.2016.19-20 vom 7. Dezember 2016 E. 1). Die Beschwerdeverfahren BV.2019.8-12 und BV.2019.13-17 haben zwar die gleichen Parteien, basie- ren auf demselben Sachverhalt und würden mit Bezug auf die materielle Be- urteilung die gleichen Rechtsfragen aufwerfen. Da die Legitimation der ein- zelnen Beschwerdeführer jedoch gesondert zu prüfen ist und sie sich in bei- den Verfahren verschieden darstellt, würde bei einer Vereinigung der Ver- fahren die Übersichtlichkeit stark leiden, weshalb der Antrag der Beschwer- deführer auf Vereinigung des vorliegen Beschwerdeverfahrens mit dem Ver- fahren BV.2019.8-12 abzuweisen ist.</w:t>
      </w:r>
    </w:p>
    <w:p>
      <w:r>
        <w:rPr>
          <w:b/>
        </w:rPr>
        <w:t>E. 2.1</w:t>
      </w:r>
    </w:p>
    <w:p>
      <w:r>
        <w:t>Das Verfahren wegen des Verdachts schwerer Steuerwiderhandlungen ge- genüber dem Täter, dem Gehilfen und dem Anstifter richtet sich gemäss Art. 191 Abs. 1 DBG nach den Artikeln 19-50 des Bundesgesetzes vom 22. März 1974 über das Verwaltungsstrafrecht (VStrR; SR 313.0). Bei der Verfolgung von Widerhandlungen gegen das Verrechnungssteuergesetz fin- det ebenfalls das VStrR Anwendung und die ESTV ist die verfolgende und urteilende Verwaltungsbehörde (Art. 67 Abs. 1 VStG).</w:t>
      </w:r>
    </w:p>
    <w:p>
      <w:r>
        <w:rPr>
          <w:b/>
        </w:rPr>
        <w:t>E. 2.2</w:t>
      </w:r>
    </w:p>
    <w:p>
      <w:r>
        <w:t>Soweit das VStrR einzelne Fragen nicht abschliessend regelt, sind die Be- stimmungen der StPO grundsätzlich analog anwendbar. Die allgemeinen strafprozessualen und verfassungsrechtlichen Grundsätze sind jedenfalls auch im Verwaltungsstrafverfahren zu berücksichtigen (BGE 139 IV 246 E. 1.2 und E. 3.2; vgl. hierzu auch TPF 2016 55 E. 2.3; Beschluss des Bun- desstrafgerichts BV.2017.26 vom 6. September 2017 E. 1.2 und E. 1.3).</w:t>
      </w:r>
    </w:p>
    <w:p>
      <w:r>
        <w:rPr>
          <w:b/>
        </w:rPr>
        <w:t>E. 3</w:t>
      </w:r>
    </w:p>
    <w:p>
      <w:r>
        <w:t>Die Beschwerdeführer haben in ihrer Replik vom 8. April 2019 um Zustellung der Beilagen 4, 17, 21, 24 und 26 zur Beschwerdeantwort ersucht. Die Bei- lagen 4 und 21 (act. 2.4 und 2.21) sind den Beschwerdeführern bereits im Verfahren BV.2019.8-12 zugestellt worden (BV.2019.8-12 act. 2.6 und act. 2.29). Bei den Beilagen 17, 24 und 26 handelt es sich um eine Aktenno- tiz der A. AG betreffend L. GmbH vom Dezember 2016, einen Auszug aus der Wertschriftenverzeichniskontrolle betreffend M. AG und einer vorläufigen</w:t>
      </w:r>
    </w:p>
    <w:p>
      <w:r>
        <w:t>- 5 -</w:t>
      </w:r>
    </w:p>
    <w:p>
      <w:r>
        <w:t>Berechnung der mutmasslich durch C. und D. hinterzogenen direkten Bun- des-, Kantons- und Gemeindesteuern. Wie nachfolgend zu zeigen sein wird, ist auf die vorliegende Beschwerde mangels Legitimation nicht einzutreten. Die Beilagen 17, 24 und 26 tun zur Darlegung der Beschwerdelegitimation nichts zur Sache, und die anderen Beilagen (4 und 21) sind den Beschwer- deführern bereits zugestellt worden, sodass das Akteneinsichtsgesuch man- gels Entscheidrelevanz ohne Weiteres abzuweisen ist.</w:t>
      </w:r>
    </w:p>
    <w:p>
      <w:r>
        <w:rPr>
          <w:b/>
        </w:rPr>
        <w:t>E. 4.1</w:t>
      </w:r>
    </w:p>
    <w:p>
      <w:r>
        <w:t>Gegen Zwangsmassnahmen im Sinne der Art. 45 ff. VStrR und damit zu- sammenhängende Amtshandlungen und Säumnis kann bei der Beschwer- dekammer des Bundesstrafgerichts Beschwerde geführt werden (Art. 26 Abs. 1 VStrR i.V.m. Art. 37 Abs. 2 lit. b StBOG).</w:t>
      </w:r>
    </w:p>
    <w:p>
      <w:r>
        <w:t>Die Beschwerde ist innert drei Tagen, nachdem der Beschwerdeführer von der Amtshandlung Kenntnis hat, bei der zuständigen Behörde schriftlich mit Antrag und kurzer Begründung einzureichen (Art. 28 Abs. 3 VStrR). Ist die Beschwerde nicht gegen den Direktor oder Chef der beteiligten Verwaltung gerichtet, ist sie bei diesem einzureichen (Art. 26 Abs. 2 lit. b VStrR). Berich- tigt derselbe die angefochtene Amtshandlung nicht im Sinne der gestellten Anträge, hat er die Beschwerde mit seiner Äusserung spätestens am dritten Werktag nach ihrem Eingang an die Beschwerdekammer weiterzuleiten (Art. 26 Abs. 3 VStrR). Zur Beschwerde ist berechtigt, wer durch die ange- fochtene Amtshandlung berührt ist und ein schutzwürdiges Interesse an de- ren Aufhebung oder Änderung hat (Art. 28 Abs. 1 VStrR). Das heisst, dass nur die durch eine Massnahme persönlich und direkt betroffene Person, wel- che ein schutzwürdiges Interesse an deren Aufhebung oder Änderung hat, beschwerdelegitimiert ist (Beschlüsse des Bundesstrafgerichts BV.2015.2 vom 2. September 2015 E. 2.2; BV.2008.14 und BV.2008.15 vom 30. Januar 2009 E. 1.4). Dies ist beim beschuldigten Inhaber (Eigentümer oder Besitzer) des beschlagnahmten Gegenstandes oder Vermögenswertes fraglos der Fall, weil die Zwangsmassnahme in seine rechtlich geschützte Eigentums- garantie (zu der auch der Besitz gehört) eingreift. Gleiches gilt auch für den Dritten, soweit die Beschlagnahme in seine Eigentumsgarantie oder Wirt- schaftsfreiheit eingreift (BOMMER/GOLDSCHMID, in: Basler Kommentar, 2. Aufl. 2014, N. 70 zu Art. 263 StPO). Das Interesse an der Aufhebung oder Änderung eines Entscheides hat nach der bundesgerichtlichen Rechtspre- chung zu Art. 382 Abs. 1 StPO zudem ein aktuelles und praktisches zu sein (statt vieler: BGE 144 IV 81 E. 2.3.1; Beschluss des Bundesstrafgerichts BB.2018.89 vom 14. Juni 2018 E. 1.2).</w:t>
      </w:r>
    </w:p>
    <w:p>
      <w:r>
        <w:t>- 6 -</w:t>
      </w:r>
    </w:p>
    <w:p>
      <w:r>
        <w:t>Im Rahmen der Beschwerdebegründung muss die beschwerdeführende Partei auch die Tatsachen darlegen, aus denen sich namentlich ihre Be- schwerdeberechtigung ergeben soll, sofern dies nicht offensichtlich ist (vgl. dazu die Rechtsprechung zu Art. 385 Abs. 1 lit. b StPO: BGE 141 IV 289 E. 1.3; 141 IV 1 E. 1).</w:t>
      </w:r>
    </w:p>
    <w:p>
      <w:r>
        <w:rPr>
          <w:b/>
        </w:rPr>
        <w:t>E. 4.2</w:t>
      </w:r>
    </w:p>
    <w:p>
      <w:r>
        <w:t>Die Beschwerde richtet sich gegen die Beschlagnahme von zwei Aktienzer- tifikaten der J. AG und der K. AG, die anlässlich der Durchsuchung der Räumlichkeiten der B. Group Holding AG am 15. März 2019 erfolgt ist.</w:t>
      </w:r>
    </w:p>
    <w:p>
      <w:r>
        <w:rPr>
          <w:b/>
        </w:rPr>
        <w:t>E. 4.3.1</w:t>
      </w:r>
    </w:p>
    <w:p>
      <w:r>
        <w:t>Die Beschwerdeführer bringen zur Begründung der Beschwerdelegitimation vor, C. sei Alleinaktionär der J. AG und der K. AG und daher von der Zwangs- massnahme persönlich betroffen.</w:t>
      </w:r>
    </w:p>
    <w:p>
      <w:r>
        <w:rPr>
          <w:b/>
        </w:rPr>
        <w:t>E. 4.3.2</w:t>
      </w:r>
    </w:p>
    <w:p>
      <w:r>
        <w:t>Die J. AG und die K. AG haben ihr jeweiliges Aktienkapital vollständig in In- haberaktien ausgegeben (vgl. https://be.chregister.ch/cr-portal/(...) und https://so.chregister.ch/(...). Inhaberaktien lauten auf den jeweiligen Inhaber des Wertpapiers (Art. 683 Abs. 1 OR). Daraus folgt, dass die blosse Über- gabe des Wertpapiers den neuen Inhaber automatisch zum Inhaber der Ak- tie macht (Art. 967 Abs. 1 OR; Art. 919 Abs. 1 ZBG). Gestützt auf die Ver- mutung, wonach bei einer beweglichen Sache der Besitzer deren Eigentü- mer sei (Art. 930 Abs. 1 ZGB), ist davon auszugehen, dass der jeweilige In- haber einer Inhaberaktie auch deren Eigentümer ist. Die Aktienzertifikate über die Inhaberaktien der J. AG und der K. AG wurden in den Räumlichkei- ten der B. Group Holding AG beschlagnahmt. Besitzerin und vermutungs- weise auch Eigentümerin der Aktienzertifikate war daher die B. Group Hol- ding AG. Einwendungen und Belege, die die Eigentumsvermutung zuguns- ten der B. Group Holding AG umzustossen vermögen, bringen die Beschwer- deführer in keiner Weise vor. Damit ist nicht ersichtlich, inwiefern auch nur einer der Beschwerdeführer in seinen jeweiligen rechtlich geschützten Inte- ressen betroffen sein kann. Auf die Beschwerde ist daher mangels Legitima- tion nicht einzutreten.</w:t>
      </w:r>
    </w:p>
    <w:p>
      <w:r>
        <w:rPr>
          <w:b/>
        </w:rPr>
        <w:t>E. 5</w:t>
      </w:r>
    </w:p>
    <w:p>
      <w:r>
        <w:t>Bei diesem Ausgang des Verfahrens haben die unterliegenden Beschwer- deführer die Gerichtskosten zu tragen (Art. 25 Abs. 4 VStrR i.V.m. Art. 66 Abs. 1 und 5 BGG analog). Die Gerichtsgebühr ist auf Fr. 2'000.-- festzuset- zen (Art. 25 Abs. 4 VStrR i.V.m. Art. 73 StBOG und Art. 5 sowie Art. 8 Abs. 1 BStKR), unter Anrechnung des entsprechenden Betrags am geleisteten Kos- tenvorschuss von Fr. 5'000.--. Die Bundesstrafgerichtskasse ist anzuweisen, den Beschwerdeführern den Restbetrag von Fr. 3'000.-- zurückzuerstatten.</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