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BV.2018.9 vom 13. September 2018</w:t>
      </w:r>
    </w:p>
    <w:p>
      <w:r>
        <w:t>Bundesstrafgericht, 2018-09-13, DE</w:t>
      </w:r>
    </w:p>
    <w:p>
      <w:r>
        <w:rPr>
          <w:b/>
        </w:rPr>
        <w:t xml:space="preserve">Quelle: </w:t>
      </w:r>
      <w:r>
        <w:t>https://mcp.opencaselaw.ch/entscheid/bstger_BV.2018.9</w:t>
      </w:r>
    </w:p>
    <w:p>
      <w:r>
        <w:t>FR: TPF BV.2018.9 du 13 septembre 2018</w:t>
      </w:r>
    </w:p>
    <w:p>
      <w:r>
        <w:t>IT: TPF BV.2018.9 del 13 settembre 2018</w:t>
      </w:r>
    </w:p>
    <w:p>
      <w:pPr>
        <w:pStyle w:val="Heading2"/>
      </w:pPr>
      <w:r>
        <w:t>Regeste</w:t>
      </w:r>
    </w:p>
    <w:p>
      <w:r>
        <w:t>Beschlagnahme (Art. 46 f. VStrR).</w:t>
      </w:r>
    </w:p>
    <w:p>
      <w:pPr>
        <w:pStyle w:val="Heading2"/>
      </w:pPr>
      <w:r>
        <w:t>Erwägungen</w:t>
      </w:r>
    </w:p>
    <w:p>
      <w:r>
        <w:rPr>
          <w:b/>
        </w:rPr>
        <w:t>E. 1</w:t>
      </w:r>
    </w:p>
    <w:p>
      <w:r>
        <w:t>Beide Beschwerdeführerinnen sind in den durchsuchten Räumlichkeiten in Z. domiziliert. Sie haben dort auf zwei Etagen eine Bürogemeinschaft mit zwei weiteren «H.-Gesellschaften». Die Büros sind nicht nach den einzelnen Gesellschaften unterteilt (vgl. BV.2018.9, act. 2, S. 7). Beide Beschwerde- führerinnen haben dasselbe Beschlagnahmeprotokoll angefochten (BV.2018.9 und BV.2018.10, jeweils act. 1.1). Sie werden von demselben Rechtsanwalt vertreten und ihre Beschwerdeanträge und deren Begründung sind weitgehend gleichlautend. Angesichts dieses engen Sachzusammen- hangs ist es gerechtfertigt, die beiden separat erhobenen Beschwerden in einem gemeinsamen Entscheid zu beurteilen.</w:t>
      </w:r>
    </w:p>
    <w:p>
      <w:r>
        <w:rPr>
          <w:b/>
        </w:rPr>
        <w:t>E. 2</w:t>
      </w:r>
    </w:p>
    <w:p>
      <w:r>
        <w:t>Das Verfahren wegen des Verdachts schwerer Steuerwiderhandlungen ge- genüber dem Täter, dem Gehilfen und dem Anstifter richtet sich gemäss Art. 191 Abs. 1 DBG nach den Artikeln 19-50 des Bundesgesetzes vom 22. März 1974 über das Verwaltungsstrafrecht (VStrR; SR 313.0). Bei der Verfolgung von Widerhandlungen gegen das Verrechnungssteuergesetz fin- det ebenfalls das VStrR Anwendung und die ESTV ist die verfolgende und urteilende Verwaltungsbehörde (Art. 67 Abs. 1 VStG).</w:t>
      </w:r>
    </w:p>
    <w:p>
      <w:r>
        <w:rPr>
          <w:b/>
        </w:rPr>
        <w:t>E. 3.1</w:t>
      </w:r>
    </w:p>
    <w:p>
      <w:r>
        <w:t>Gegen Zwangsmassnahmen im Sinne der Art. 45 ff. VStrR und damit zu- sammenhängende Amtshandlungen kann bei der Beschwerdekammer des Bundesstrafgerichts Beschwerde geführt werden (Art. 26 Abs. 1 VStrR i.V.m. Art. 37 Abs. 2 lit. b StBOG). Zur Beschwerde ist berechtigt, wer durch die angefochtene Amtshandlung berührt ist und ein schutzwürdiges Interesse an</w:t>
      </w:r>
    </w:p>
    <w:p>
      <w:r>
        <w:t>- 5 -</w:t>
      </w:r>
    </w:p>
    <w:p>
      <w:r>
        <w:t>deren Aufhebung oder Änderung hat (Art. 28 Abs. 1 VStrR). Mit der Be- schwerde kann die Verletzung von Bundesrecht, die unrichtige oder unvoll- ständige Feststellung des rechtserheblichen Sachverhalts oder die Unange- messenheit gerügt werden (Art. 28 Abs. 2 VStrR). Die Beschwerde ist innert drei Tagen, nachdem der Beschwerdeführer von der Amtshandlung Kenntnis erhalten hat, bei der zuständigen Behörde schriftlich mit Antrag und kurzer Begründung einzureichen (Art. 28 Abs. 3 VStrR).</w:t>
      </w:r>
    </w:p>
    <w:p>
      <w:r>
        <w:rPr>
          <w:b/>
        </w:rPr>
        <w:t>E. 3.2</w:t>
      </w:r>
    </w:p>
    <w:p>
      <w:r>
        <w:t>Aufgrund der Akten ist nicht erkennbar, welche der beschlagnahmten Unter- lagen und Daten im Einzelnen welcher der Beschwerdeführerinnen zuzuord- nen sind. Beide machen uneingeschränkt geltend, die Inhaberin der be- schlagnahmten Unterlagen zu sein (BV.2018.9 und BV.2018.10, jeweils act. 1, Rz. 6). Dies liegt insbesondere auch im Umstand der gemeinsam ge- nützten und nicht einzeln unterteilten Büroräumlichkeiten begründet (vgl. hierzu E. 1). Nichtsdestotrotz ist jedoch davon auszugehen, dass beide als in den Räumlichkeiten domizilierte Gesellschaften zumindest in gewissem Masse auch Inhaberinnen beschlagnahmter Unterlagen und Daten sind. In- sofern sind sie auch berechtigt, die erfolgte Beschlagnahme anzufechten, zumindest soweit sie selber dadurch betroffen sind. Nicht einzutreten ist auf deren Beschwerdeanträge nur, sofern sie damit auch die Beschlagnahme von Akten anfechten, die jeweils der anderen Beschwerdeführerin oder an- deren Nutzern der Büroräumlichkeiten zuzuordnen wären.</w:t>
      </w:r>
    </w:p>
    <w:p>
      <w:r>
        <w:rPr>
          <w:b/>
        </w:rPr>
        <w:t>E. 3.3</w:t>
      </w:r>
    </w:p>
    <w:p>
      <w:r>
        <w:t>Was den jeweiligen Beschwerdeantrag Ziff. 2 angeht, so fehlt es vorliegend an einem in den Akten liegenden Anfechtungsobjekt. Auch aufgrund der je- weiligen Beschwerdebegründung ist diesbezüglich keine Zwangsmass- nahme oder Amtshandlung erkennbar, welche einer Überprüfung auf dem Beschwerdeweg unterzogen werden soll. Auf die entsprechenden Anträge ist nicht einzutreten.</w:t>
      </w:r>
    </w:p>
    <w:p>
      <w:r>
        <w:rPr>
          <w:b/>
        </w:rPr>
        <w:t>E. 3.4</w:t>
      </w:r>
    </w:p>
    <w:p>
      <w:r>
        <w:t>Auf die im Übrigen form- und fristgerecht eingereichten Beschwerden ist ein- zutreten, soweit sie sich gegen die erfolgten Beweismittelbeschlagnahmen richten.</w:t>
      </w:r>
    </w:p>
    <w:p>
      <w:r>
        <w:rPr>
          <w:b/>
        </w:rPr>
        <w:t>E. 4.1</w:t>
      </w:r>
    </w:p>
    <w:p>
      <w:r>
        <w:t>Die Beschwerdegegnerin reichte der Beschwerdekammer mit der jeweiligen Duplik und unter Hinweis auf Art. 25 Abs. 3 VStrR eine Reihe von Beweis- mitteln ein, welche diese unter Ausschluss der Beschwerdeführerinnen zur Kenntnis nehmen solle (BV.2018.9 und BV.2018.10, jeweils act. 11, S. 2 f.).</w:t>
      </w:r>
    </w:p>
    <w:p>
      <w:r>
        <w:t>- 6 -</w:t>
      </w:r>
    </w:p>
    <w:p>
      <w:r>
        <w:rPr>
          <w:b/>
        </w:rPr>
        <w:t>E. 4.2</w:t>
      </w:r>
    </w:p>
    <w:p>
      <w:r>
        <w:t>Wo es zur Wahrung wesentlicher öffentlicher oder privater Interessen nötig ist, hat die Beschwerdekammer von einem Beweismittel unter Ausschluss des Beschwerdeführers oder Antragstellers Kenntnis zu nehmen (Art. 25 Abs. 3 VStrR). Die Beschwerdekammer betrachtet hierbei das blosse Inte- resse der beteiligten Verwaltung an der Geheimhaltung einer Information nicht als gleichbedeutend mit einem wesentlichen öffentlichen Interesse. Nicht die Verwaltung setzt die Wertmassstäbe für die Interessenabwägung, sondern die richterliche Kontrollinstanz. Die Formulierung von Art. 25 Abs. 3 VStrR ist imperativ. Die Beschwerdekammer muss den Betroffenen von der Kenntnisnahme ausschliessen, wenn die Sachlage den vom Gesetz verlang- ten Voraussetzungen entspricht (HAURI, Verwaltungsstrafrecht [VStrR], 1998, S. 74 m.w.H.; Entscheid des Bundesstrafgerichts BV.2009.30 vom 15. Dezember 2009 E. 2.2).</w:t>
      </w:r>
    </w:p>
    <w:p>
      <w:r>
        <w:t>Gemäss Praxis der Beschwerdekammer sind aber in einem solchen Fall Ak- ten, welche einer Partei nicht offengelegt werden sollen, aber worauf sie sich stützen soll, in Form einer Zusammenfassung einzureichen, wobei die be- troffene Partei uneingeschränkt Gelegenheit zur Stellungnahme erhält (Be- schluss des Bundesstrafgerichts BE.2018.2 vom 30. Mai 2018 E. 6.2.5; Ent- scheid des Bundesstrafgerichts BV.2009.30 vom 15. Dezember 2009 E. 2.4 m.w.H.).</w:t>
      </w:r>
    </w:p>
    <w:p>
      <w:r>
        <w:rPr>
          <w:b/>
        </w:rPr>
        <w:t>E. 4.3</w:t>
      </w:r>
    </w:p>
    <w:p>
      <w:r>
        <w:t>Die Beschwerdegegnerin will mit ihrem Vorgehen verhindern, dass die steu- erstrafrechtliche Untersuchung erschwert bzw. das Steuergeheimnis gegen- über anderen Beschuldigten bzw. Steuerpflichtigen verletzt wird (vgl. BV.2018.9 und BV.2018.10, jeweils act. 11, S. 2). Der lediglich pauschal vor- gebrachte Grund der möglichen Erschwerung der steuerstrafrechtlichen Un- tersuchung kann für eine sich auf Art. 25 Abs. 3 VStrR stützende Einschrän- kung des Rechts der Beschwerdeführerinnen auf Akteneinsicht nicht genü- gen. Die Beschwerdekammer erkennt aber im Steuergeheimnis (vgl. Art. 110 DBG oder Art. 37 VStG) wesentliche private Interessen von Drittpersonen, die einer Einsichtnahme in Steuerunterlagen entgegenstehen können (vgl. hierzu den Beschluss des Bundesstrafgerichts BE.2018.2 vom 30. Mai 2018 E. 6.2.5).</w:t>
      </w:r>
    </w:p>
    <w:p>
      <w:r>
        <w:rPr>
          <w:b/>
        </w:rPr>
        <w:t>E. 4.4</w:t>
      </w:r>
    </w:p>
    <w:p>
      <w:r>
        <w:t>Die Beschwerdeführerinnen kritisieren das Vorgehen der Beschwerdegeg- nerin. Konkret machen sie aber lediglich geltend, die Beschwerdegegnerin habe der Beschwerdekammer wahrscheinlich Jahresrechnungen der I. Corp. mit Sitz auf den Seychellen eingereicht. Es sei nicht ersichtlich, wes- halb Jahresrechnungen von im Ausland domizilierten Gesellschaften dem Steuergeheimnis unterliegen sollen (BV.2018.9 und BV.2018.10, jeweils</w:t>
      </w:r>
    </w:p>
    <w:p>
      <w:r>
        <w:t>- 7 -</w:t>
      </w:r>
    </w:p>
    <w:p>
      <w:r>
        <w:t>act. 15, Rz. 1 ff.). Diese Vermutung der Beschwerdeführerinnen ist unbe- gründet; die Liste der als vertraulich eingereichten Aktenstücke A bis F wurde ihr offen gelegt (siehe u.a. BV.2018.9 und BV.2018.10, jeweils act. 13.1 in fine). Wie nachfolgend ausgeführt wird, erweist sich der eine Teil der unter- suchten Sachverhalte für die Beurteilung der vorliegenden Beschwerden nicht als relevant (siehe E. 6.3). Demnach muss sich die Beschwerdekam- mer auch nicht auf die sich auf diesen Teil der Untersuchung beziehenden Aktenstücke A, B und C stützen. Das Aktenstück B befindet sich im Übrigen ohnehin bereits im Besitz der Beschwerdeführerinnen (BV.2018.9 und BV.2018.10, jeweils act. 15.9). Aktenstück E, d.h. die Auszüge aus den (Steuer-)Unterlagen von Herrn und Frau J., unterliegt offensichtlich der Ge- heimhaltungspflicht gemäss Art. 110 Abs. 1 DBG. Ein wesentliches privates Interesse von Drittpersonen an der Geheimhaltung des Dokuments E ist da- mit vorhanden. Bei den Aktenstücken D und F handelt es sich demgegen- über um Geschäftsunterlagen der K. Ltd., wobei nicht klar ist, inwiefern diese gegenüber den Beschwerdeführerinnen überhaupt ein Geheimhaltungsinte- resse an diesen Unterlagen aufweist. Das Aktenstück F ist zudem ein Ver- trag zwischen der K. Ltd. und der Beschwerdeführerin 2, ein allfälliges Ge- heimhaltungsinteresse bestünde womöglich allein gegenüber der Beschwer- deführerin 1. Es ist davon auszugehen, dass sich dieser Vertrag ohnehin auch in den Geschäftsunterlagen der Beschwerdeführerin 2 befinden dürfte. Der wesentliche Inhalt der Aktenstücke D, E und F wurde von der Beschwer- degegnerin im Rahmen ihrer Ausführungen wiedergegeben. Dazu konnten die Beschwerdeführerinnen Stellung nehmen. Der Praxis der Beschwerde- kammer ist somit Genüge getan.</w:t>
      </w:r>
    </w:p>
    <w:p>
      <w:r>
        <w:rPr>
          <w:b/>
        </w:rPr>
        <w:t>E. 5</w:t>
      </w:r>
    </w:p>
    <w:p>
      <w:r>
        <w:t>Vom untersuchenden Beamten mit Beschlag zu belegen sind Gegenstände, die als Beweismittel von Bedeutung sein können (Art. 46 Abs. 1 lit. a VStrR). Die Beschlagnahme in diesem Sinn ist eine provisorische (konservatorische) prozessuale Massnahme zur vorläufigen Sicherung von Beweismitteln (BGE 120 IV 164 E. 1c S. 166, 120 IV 297 E. 3e S. 299; 119 IV 326 E. 7e S. 328 f.). Es genügt diesbezüglich eine gewisse Wahrscheinlichkeit, dass das Beweisobjekt unmittelbar oder mittelbar mit der strafbaren Handlung in Zusammenhang steht (TPF 2004 34 E. 4.1 m.w.H.; Beschluss des Bun- desstrafgerichts BV.2014.79 vom 27. Februar 2015 E. 2.4.2). Allgemeine Vo- raussetzung für die Beschlagnahme ist ein hinreichender, objektiv begrün- deter Tatverdacht gegenüber dem Betroffenen. Gemäss ständiger Recht- sprechung der Beschwerdekammer setzt der hinreichende – in Abgrenzung zum dringenden – Tatverdacht gerade nicht voraus, dass Beweise oder In- dizien bereits für eine erhebliche oder hohe Wahrscheinlichkeit einer Verur- teilung sprechen. Der hinreichende Tatverdacht unterscheidet sich damit</w:t>
      </w:r>
    </w:p>
    <w:p>
      <w:r>
        <w:t>- 8 -</w:t>
      </w:r>
    </w:p>
    <w:p>
      <w:r>
        <w:t>vom dringenden Tatverdacht vor allem durch graduelle Elemente hinsichtlich der Beweislage, wobei der Strafverfolgungsbehörde auch in der Sachver- haltsdarstellung ein geringerer Konkretisierungsgrad zugebilligt werden muss. Das ändert jedoch nichts daran, dass sich ein derartiger Verdacht im Verlaufe der weiteren Ermittlungen verdichten muss. Im Gegensatz zum er- kennenden Sachrichter hat die Beschwerdekammer bei der Überprüfung des Tatverdachts keine erschöpfende Abwägung der in Betracht fallenden Tat- und Rechtsfragen vorzunehmen (BGE 124 IV 313 E. 4). Des Weiteren muss die Beschlagnahme im öffentlichen Interesse liegen und verhältnismässig sein, das heisst sie muss in einem angemessenen Verhältnis zur Schwere der Tat und zur Stärke des Tatverdachts stehen und für die Ermittlung not- wendig und geeignet sein (vgl. zum Ganzen zuletzt die Beschlüsse des Bun- desstrafgerichts BV.2017.33 vom 17. November 2017 E. 2.1; BV.2017.25 vom 17. Oktober 2017 E. 3.2-3.3).</w:t>
      </w:r>
    </w:p>
    <w:p>
      <w:r>
        <w:rPr>
          <w:b/>
        </w:rPr>
        <w:t>E. 6.1</w:t>
      </w:r>
    </w:p>
    <w:p>
      <w:r>
        <w:t>Gemäss Durchsuchungsbefehl, welcher den angefochtenen Beweismittel- beschlagnahmen zu Grunde liegt, bestehe der begründete Verdacht, dass die beiden durch C. beherrschten Beschwerdeführerinnen versuchte Steu- erhinterziehung begangen haben, indem sie in den Geschäftsjahren 2012 sowie 2014-2016 ihnen zustehende Erträge im Betrag von Fr. 109 Mio. nicht verbucht haben. Diese den beiden Beschwerdeführerinnen zustehenden Er- träge seien durch die K. Ltd. mit Sitz auf Mauritius und durch die L. Ltd. mit Sitz auf Zypern vereinnahmt worden. Dadurch seien die Gewinne der beiden Beschwerdeführerinnen in hohem Ausmass zu Unrecht verkürzt und damit in grossem Umfang Gewinnsteuern hinterzogen worden. Durch die unterlas- sene Deklaration dieser mutmasslich verdeckt geleisteten Gewinnausschüt- tungen und der damit nicht erfolgten Deklaration und Abrechnung der Ver- rechnungssteuern seien im Geschäftsbereich der Beschwerdeführerinnen auch Verrechnungssteuern hinterzogen worden (BV.2018.9 und BV.2018.10, jeweils act. 1.2, S. 2).</w:t>
      </w:r>
    </w:p>
    <w:p>
      <w:r>
        <w:t>Gemäss Handelsregister bezweckt die Beschwerdeführerin 1 das Erbringen von Beratungsdienstleistungen im Finanzbereich für institutionelle und pri- vate Kunden. Die Beschwerdeführerin 2 bezweckt die Erbringung von Bera- tungs- und Verwaltungsdienstleistungen, namentlich in den Bereichen des Buchhaltungs- und Finanzwesens, der Rechtsberatung, der Akquisition so- wie der allgemeinen Gesellschaftsadministration gegenüber Gruppengesell- schaften und Dritten. Beide Gesellschaften sind Teil der von C. kontrollierten Unternehmensgruppe (vgl. BV.2018.9 und BV.2018.10, jeweils act. 2.2).</w:t>
      </w:r>
    </w:p>
    <w:p>
      <w:r>
        <w:t>- 9 -</w:t>
      </w:r>
    </w:p>
    <w:p>
      <w:r>
        <w:rPr>
          <w:b/>
        </w:rPr>
        <w:t>E. 6.2</w:t>
      </w:r>
    </w:p>
    <w:p>
      <w:r>
        <w:t>Der dem Durchsuchungsbefehl und damit der Beschlagnahmeverfügung zu Grunde liegende Tatverdacht wurde von der Beschwerdegegnerin mit Stel- lungnahme vom 28. Mai 2018 konkretisiert (BV.2018.9 und BV.2018.10, je- weils act. 2, S. 4 ff.). Demnach seien im Jahr 2014 Teile der verwalteten Vermögen in sieben private Investment-Fonds eingebracht worden. Diese seien zu einem Teil durch die K. Ltd. mit Sitz auf Mauritius und zum anderen Teil durch schweizerische Gruppengesellschaften verwaltet worden. Die sie- ben Investment-Fonds hätten der K. Ltd. Kommissionen bezahlt (in den Jah- ren 2014-2016 total USD 161‘430‘556.–), obwohl Letztere nicht über das er- forderliche Personal verfügt habe. Dementsprechend habe diese die Leis- tungen bei den schweizerischen Gruppengesellschaften eingekauft und da- für ein als «advisory fees» bezeichnetes Entgelt entrichtet. Der Beschwerde- führerin 1 seien unter diesem Titel in den Jahren 2014 bis 2016 USD 38‘124‘171.– zugeflossen. In den Geschäftsberichten sei festgehalten, dass die K. Ltd. in den Jahren 2014-2015 kein Personal, d.h. kein «key ma- nagement personnel» beschäftigt habe. Erst gegen Ende 2016 habe die Ge- sellschaft einige Mitarbeiter beschäftigt. Als «Key Executives» der K. Ltd. seien J. als Managing Director and Head of Active Management sowie M. als Group Head Asset Management erschienen. Beide seien in der Schweiz wohnhaft und würden hier eine Erwerbstätigkeit ausüben. In einer von der E. AG am 30. Mai 2015 den Steuerbehörden eingereichten Transferprice Studie finde die K. Ltd. keine Erwähnung. Demzufolge komme ihr bei der Verwaltung der Investment-Fonds keine nennenswerte Funktion zu. Im wei- teren habe die K. Ltd. im Jahr 2014 ausser den erwähnten «advisory fees» an die Schweizer Gesellschaften praktisch keine weiteren Kosten verbucht. Es sei daher davon auszugehen, dass die K. Ltd. von der Schweiz aus ge- leitet worden sei. Die Jahresrechnungen der K. Ltd. würden belegen, dass in den Jahren 2014 und 2015 die wesentlichen Tätigkeiten durch die Schweizer Gesellschaften ausgeübt, die Umsätze jedoch durch die K. Ltd. verbucht worden seien. Es bestehe somit der Verdacht, die K. Ltd. sei lediglich ge- gründet worden, um die Steuern der beschuldigten Schweizer Gesellschaf- ten zu verkürzen. Der entsprechende Gewinnverzicht stelle zudem eine geldwerte Leistung dar, auf welcher die Verrechnungssteuer geschuldet sei. Diese sei weder deklariert noch abgeliefert worden.</w:t>
      </w:r>
    </w:p>
    <w:p>
      <w:r>
        <w:t>Weiter habe die Beschwerdegegnerin festgestellt, dass die L. Ltd. mit Sitz in Zypern von einem angolanischen Fonds N. eine Zahlung von USD 10 Mio. erhalten habe. Zumindest ein Teil dieser Zahlung sei ebenfalls den schwei- zerischen Gruppengesellschaften zuzurechnen.</w:t>
      </w:r>
    </w:p>
    <w:p>
      <w:r>
        <w:t>- 10 -</w:t>
      </w:r>
    </w:p>
    <w:p>
      <w:r>
        <w:rPr>
          <w:b/>
        </w:rPr>
        <w:t>E. 6.3</w:t>
      </w:r>
    </w:p>
    <w:p>
      <w:r>
        <w:t>Schliesslich verdächtigt die Beschwerdegegnerin C. unter dem Stichwort «Finder Fees» der Hinterziehung der Einkommenssteuer. Der entspre- chende Sachverhalt bzw. Vorwurf betrifft jedoch nicht direkt den Geschäfts- bereich der beiden Beschwerdeführerinnen. Diesbezüglich stimmen die Par- teien grundsätzlich überein. So hält die Beschwerdegegnerin fest, der gegen C. gerichtete Tatverdacht stehe in keinem unmittelbaren Zusammenhang mit den Beschwerdeführerinnen (BV.2018.9 und BV.2018.10, jeweils act. 11, S. 2). Die Beschwerdeführerinnen ihrerseits halten dazu fest, nicht auf den entsprechenden Tatvorwurf eingehen zu wollen (BV.2018.9 und BV.2018.10, jeweils act. 8, S. 2), erheben im Folgenden jedoch fast aus- schliesslich Einreden und Einwendungen gegen den von der Beschwerde- gegnerin geschilderten, C. betreffenden Tatverdacht (BV.2018.9 und BV.2018.10, jeweils act. 8, S. 2 f.; act. 15, Rz. 4 und 8 ff.; act. 20, Rz. 4 ff.). Der entsprechende Teilsachverhalt bzw. Vorwurf ist für die Beschwerden der Beschwerdeführerinnen jedoch kaum von Relevanz bzw. gegenüber dem zuvor geschilderten Sachverhalts- und Vorwurfsbereich (siehe E. 6.1 und 6.2) nur von untergeordneter Bedeutung. Auf die Ausführungen der Parteien zu den C. gegenüber erhobenen Vorwürfen ist daher im Folgenden nicht weiter einzugehen. Aus diesem Grund braucht sich die Beschwerdekammer für ihren Entscheid auch nicht auf die von der Beschwerdegegnerin einge- reichten vertraulichen Aktenstücke A, B und C zu stützen (vgl. E. 4.4).</w:t>
      </w:r>
    </w:p>
    <w:p>
      <w:r>
        <w:rPr>
          <w:b/>
        </w:rPr>
        <w:t>E. 6.4</w:t>
      </w:r>
    </w:p>
    <w:p>
      <w:r>
        <w:t>Es fällt auf, dass sich die Beschwerdeführerinnen demgegenüber kaum zum Vorwurf äussern, der direkt ihren eigenen Geschäftsbereich betrifft (siehe dazu E. 6.1 und 6.2). So halten sie beispielsweise in ihren Beschwerden le- diglich fest, der Vorwurf entbehre jeglicher Grundlage und sie hätten die ihnen zugeflossenen Erträge ordnungsgemäss verbucht (BV.2018.9 und BV.2018.10, jeweils act. 1, Rz. 24 f.). In der Folge halten die Beschwerde- führerinnen fest, ob diesbezüglich ein hinreichender Tatverdacht zu bejahen sei, könne offenbleiben (BV.2018.9 und BV.2018.10, jeweils act. 8, S. 3 und act. 15, Rz. 29). Konkret machen sie hierzu bloss geltend, die Beschwerde- gegnerin erläutere nicht, auf welche konkreten Anhaltspunkte sie ihre Schlussfolgerungen stütze (BV.2018.9 und BV.2018.10, jeweils act. 15, Rz. 27). Dieser letzte Vorwurf erweist sich als unbegründet. Bereits in ihrer Stellungnahme vom 28. Mai 2018 (BV.2018.9 und BV.2018.10, jeweils act. 2) nimmt die Beschwerdegegnerin im Rahmen ihrer Ausführungen kon- kret Bezug auf die Erfolgsrechnungen der K. Ltd. sowie auf deren Geschäfts- berichte (S. 5), auf einen im Internet veröffentlichten Bericht des «Internatio- nal Consortium of Investigative Journalists» (ICIJ, S. 5), auf öffentliche Infor- mationen im Internet-Portal «Bloomberg» (S. 6) sowie auf eine von der E. AG am 30. Mai 2015 den Steuerbehörden eingereichte Transferprice Studie (S. 6). Bei der von der Beschwerdegegnerin eingereichten, als vertraulich</w:t>
      </w:r>
    </w:p>
    <w:p>
      <w:r>
        <w:t>- 11 -</w:t>
      </w:r>
    </w:p>
    <w:p>
      <w:r>
        <w:t>bezeichneten Beilage D handelt es sich um einen Auszug der Jahresrech- nung der K. Ltd. für die Jahre 2014-2015. Die darin ausgewiesenen an die Beschwerdeführerin 1 geleisteten «advisory fees» hat sie im Rahmen ihrer Schilderung des Tatverdachts tabellarisch aufgelistet (BV.2018.9 und BV.2018.10, jeweils act. 13.1, S. 3). Die Beilage E vermag zu bestätigen, dass der bereits erwähnte und in der Schweiz wohnhafte J. ab 1. Feb- ruar 2016 bis zumindest 31. Dezember 2016 Angestellter der K. Ltd. war, was von der Beschwerdegegnerin im Rahmen ihrer Schilderung des Sach- verhalts ebenfalls offen gelegt worden ist (BV.2018.9 und BV.2018.10, je- weils act. 13.1, S. 4). Bei der Beilage F handelt es sich um einen Vertrag zwischen der Beschwerdeführerin 2 und der K. Ltd. Dessen Inhalt bestätigt die Ausführungen der Beschwerdegegnerin, wonach die K. Ltd. gegen Ent- richtung eines Entgelts bei Schweizer H. Gesellschaften (Dienst-)Leistungen eingekauft haben soll (BV.2018.9 und BV.2018.10, jeweils act. 13.1, S. 3).</w:t>
      </w:r>
    </w:p>
    <w:p>
      <w:r>
        <w:rPr>
          <w:b/>
        </w:rPr>
        <w:t>E. 6.5</w:t>
      </w:r>
    </w:p>
    <w:p>
      <w:r>
        <w:t>Nach dem Gesagten bestehen zum jetzigen – noch frühen – Zeitpunkt des Verfahrens hinreichend konkrete Anhaltspunkte, welche gegenüber den Be- schwerdeführerinnen den von der Beschwerdegegnerin formulierten Ver- dacht der Hinterziehung von Gewinnsteuern bzw. von Verrechnungssteuern zu begründen vermögen. Daran ändern auch die beiden zuletzt von den Be- schwerdeführerinnen eingereichten britischen Urteile nichts (BV.2018.9 und BV.2018.10, jeweils act. 20.1 und 20.2). Diese Urteile betreffen offenbar eine zivilrechtliche Streitigkeit hinsichtlich der Verwaltung von Vermögenswerten des angolanischen Staatsfonds durch die H.-Gruppe. Zur Frage der Verein- barkeit des oben geschilderten modus operandi (vgl. E. 6.2) mit den Bestim- mungen des Schweizer Steuerrechts äussern sich die ins Recht gelegten Urteile nicht. Die Beschwerden erweisen sich in diesem Punkt als unbegrün- det.</w:t>
      </w:r>
    </w:p>
    <w:p>
      <w:r>
        <w:rPr>
          <w:b/>
        </w:rPr>
        <w:t>E. 7.1</w:t>
      </w:r>
    </w:p>
    <w:p>
      <w:r>
        <w:t>In ihren Beschwerden bringen die Beschwerdeführerinnen ohne weitere Er- klärung vor, die Beschlagnahme sei unverhältnismässig, weil sie Unterlagen von Gesellschaften betreffe, die mit dem im Durchsuchungsbefehl geschil- derten Vorwurf keinen Zusammenhang haben würden (BV.2018.9 und BV.2018.10, jeweils act. 1, Rz. 28). Erst ihrer Eingabe vom 7. August 2018 legen sie das Verzeichnis der sichergestellten Akten bei, worin sie diejenigen Aktenstücke grün markiert haben, die ihrer Ansicht nach hinsichtlich des Tat- verdachts nicht relevant und deshalb von der Beschlagnahme auszunehmen seien (BV.2018.9 und BV.2018.10, jeweils act. 15, Rz. 35 und act. 15.10). Konkretere Erklärungen zu den einzelnen beschlagnahmten Aktenstücken</w:t>
      </w:r>
    </w:p>
    <w:p>
      <w:r>
        <w:t>- 12 -</w:t>
      </w:r>
    </w:p>
    <w:p>
      <w:r>
        <w:t>können den Eingaben der Beschwerdeführerinnen jedoch nicht entnommen werden.</w:t>
      </w:r>
    </w:p>
    <w:p>
      <w:r>
        <w:rPr>
          <w:b/>
        </w:rPr>
        <w:t>E. 7.2</w:t>
      </w:r>
    </w:p>
    <w:p>
      <w:r>
        <w:t>Dieser Einwand der Beschwerdeführerinnen erweist sich als offensichtlich unbegründet. Zahlreiche der durch sie grün markierten Aktenstücke lassen beispielsweise allein durch ihre Bezeichnung einen konkreten Zusammen- hang zu einem bzw. zu mehreren der sieben erwähnten Investment-Fonds O., P., Q., R., S., T. und AA. vermuten (siehe die Liste in BV.2018.9 und BV.2018.10, jeweils act. 13.1, S. 3), so z.B. die Positionen 1004, 0547-0549, 0551-0553, 0555-0560, 0567-0573, 0576-0577, 0580-0582, 0585, 0588- 0591, 0593-0594, 0596-0601, 0603, 0605, 0610-0611 (BV.2018.9 und BV.2018.10, jeweils act. 15.10). Auch die übrigen beschlagnahmten Akten lassen einen hinreichend deutlichen Zusammenhang zur H.-Gruppe und zu deren Verantwortlichen erkennen. Diesbezüglich ist festzuhalten, dass C. eine komplexe Struktur von Gesellschaften aufgebaut hat, welche sich of- fenbar gegenseitig Leistungen verrechnen. Die tatsächliche Funktion der einzelnen Gesellschaften erscheint nicht als transparent. Im jetzigen Verfah- rensstadium scheint zudem auch noch nicht klar, wo und durch wen inner- halb der H.-Gruppe die in Rechnung gestellten Leistungen tatsächlich er- bracht worden sind. Es besteht demnach eine hinreichende Wahrscheinlich- keit, dass alle beschlagnahmten Beweisunterlagen unmittelbar oder mittel- bar mit den untersuchten, den Beschwerdeführerinnen zur Last gelegten strafbaren Handlungen in Zusammenhang stehen. Die angefochtene Be- schlagnahme der Beweisunterlagen ist geeignet, zur Klärung der untersuch- ten Sachverhalte beizutragen. Auch erweist sie sich angesichts der Schwere des Tatvorwurfs als gerechtfertigt. Der zuletzt sinngemäss vorgebrachte Ein- wand (siehe BV.2018.9 und BV.2018.10, jeweils act. 20, Rz. 24), die Inter- vention der Steuerbehörden (Betreibungen, Kontosperren etc.) liesse einen Konkurs der H.-Gruppe als möglich erscheinen, ist vorliegend nicht von Re- levanz. Angefochten sind lediglich Beweismittelbeschlagnahmen. Insofern ist nicht ersichtlich, wie sich diese negativ auf die Liquidität der Beschwerde- führerinnen auswirken sollten.</w:t>
      </w:r>
    </w:p>
    <w:p>
      <w:r>
        <w:rPr>
          <w:b/>
        </w:rPr>
        <w:t>E. 8</w:t>
      </w:r>
    </w:p>
    <w:p>
      <w:r>
        <w:t>Nach dem Gesagten erweisen sich die Beschwerden in all ihren Punkten als unbegründet. Sie sind abzuweisen, soweit auf sie eingetreten werden kann.</w:t>
      </w:r>
    </w:p>
    <w:p>
      <w:r>
        <w:rPr>
          <w:b/>
        </w:rPr>
        <w:t>E. 9</w:t>
      </w:r>
    </w:p>
    <w:p>
      <w:r>
        <w:t>Bei diesem Ausgang des Verfahrens haben die Beschwerdeführerinnen die Gerichtskosten zu gleichen Teilen zu tragen (Art. 66 Abs. 1 BGG analog; vgl. hierzu TPF 2011 25 E. 3). Die Gerichtsgebühr ist für beide Beschwerdever- fahren auf Fr. 2'000.– festzusetzen (Art. 25 Abs. 4 VStrR i.V.m. Art. 73</w:t>
      </w:r>
    </w:p>
    <w:p>
      <w:r>
        <w:t>- 13 -</w:t>
      </w:r>
    </w:p>
    <w:p>
      <w:r>
        <w:t>StBOG und Art. 5 und 8 Abs. 1 des Reglements des Bundesstrafgerichts vom 31. August 2010 über die Kosten, Gebühren und Entschädigungen in Bundesstrafverfahren [BStKR; SR 173.713.162]), unter Anrechnung des ent- sprechenden Betrags an den von beiden Beschwerdeführerinnen geleiste- ten Kostenvorschuss in der Höhe von je Fr. 2'000.– (vgl. BV.2018.9 und BV.2018.10, jeweils act. 3 und 7). Die Bundesstrafgerichtskasse ist anzuwei- sen, dem Vertreter der Beschwerdeführerinnen zu deren Handen Fr. 2'000.– zurückzuerstatten.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