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BV.2018.7 vom 8. November 2018</w:t>
      </w:r>
    </w:p>
    <w:p>
      <w:r>
        <w:t>Bundesstrafgericht, 2018-11-08, DE</w:t>
      </w:r>
    </w:p>
    <w:p>
      <w:r>
        <w:rPr>
          <w:b/>
        </w:rPr>
        <w:t xml:space="preserve">Quelle: </w:t>
      </w:r>
      <w:r>
        <w:t>https://mcp.opencaselaw.ch/entscheid/bstger_BV.2018.7</w:t>
      </w:r>
    </w:p>
    <w:p>
      <w:r>
        <w:t>FR: TPF BV.2018.7 du 8 novembre 2018</w:t>
      </w:r>
    </w:p>
    <w:p>
      <w:r>
        <w:t>IT: TPF BV.2018.7 del 8 novembre 2018</w:t>
      </w:r>
    </w:p>
    <w:p>
      <w:pPr>
        <w:pStyle w:val="Heading2"/>
      </w:pPr>
      <w:r>
        <w:t>Regeste</w:t>
      </w:r>
    </w:p>
    <w:p>
      <w:r>
        <w:t>Beschlagnahme (Art. 46 f. VStrR). Säumnis (Art. 26 Abs. 1 VStrR).</w:t>
      </w:r>
    </w:p>
    <w:p>
      <w:pPr>
        <w:pStyle w:val="Heading2"/>
      </w:pPr>
      <w:r>
        <w:t>Erwägungen</w:t>
      </w:r>
    </w:p>
    <w:p>
      <w:r>
        <w:rPr>
          <w:b/>
        </w:rPr>
        <w:t>E. 1.1</w:t>
      </w:r>
    </w:p>
    <w:p>
      <w:r>
        <w:t>Widerhandlungen gegen das Mehrwertsteuergesetz werden nach diesem und nach dem VStrR verfolgt und beurteilt (Art. 103 Abs. 1 MWSTG; vgl. auch CAMENZIND/HONAUER/VALLENDER/JUNG/PROBST, Handbuch zum Mehrwertsteuergesetz [MWSTG], 3. Aufl. 2012, N. 2696). Bei der Inland- steuer obliegt die Strafverfolgung hierbei der Beschwerdegegnerin (Art. 103 Abs. 2 MWSTG).</w:t>
      </w:r>
    </w:p>
    <w:p>
      <w:r>
        <w:rPr>
          <w:b/>
        </w:rPr>
        <w:t>E. 1.2</w:t>
      </w:r>
    </w:p>
    <w:p>
      <w:r>
        <w:t>Gegen Zwangsmassnahmen im Sinne der Art. 45 ff. VStrR und damit zu- sammenhängende Amtshandlungen und Säumnis kann bei der Beschwer- dekammer des Bundesstrafgerichts Beschwerde geführt werden (Art. 26 Abs. 1 VStrR i.V.m. Art. 37 Abs. 2 lit. b StBOG).</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 tigt derselbe die angefochtene Amtshandlung nicht im Sinne der gestellten Anträge, hat er die Beschwerde mit seiner Äusserung spätestens am dritten Werktag nach ihrem Eingang an die Beschwerdekammer weiterzuleiten (Art. 26 Abs. 3 VStrR). Die Beschwerde wegen Säumnis (bzw. Rechtsver- weigerung und Rechtsverzögerung) ist an keine Frist gebunden (Art. 396 Abs. 2 StPO i.V.m. Art. 31 Abs. 2 VStrR; TPF 2011 163 E. 1.3; Beschluss des Bundesstrafgerichts BV.2017.23 vom 18. Juli 2017 E. 1.2). Eine Rechts- verzögerungsbeschwerde setzt jedoch grundsätzlich voraus, dass wegen der Verfahrensdauer bei der Vorinstanz zumindest einmal interveniert wurde (Urteil des Bundesgerichts 1B_24/2013 vom 12. Februar 2013 E. 4 m.w.H.).</w:t>
      </w:r>
    </w:p>
    <w:p>
      <w:r>
        <w:t>Die Beschlagnahme wurde am 7. Mai 2018 verfügt und der Beschwerdefüh- rer tags darauf darüber in Kenntnis gesetzt (act. 1.1 und act. 1.2). Die Be- schwerde vom 11. Mai 2018 wurde damit fristgerecht dem Direktor der ESTV eingereicht (act. 1). Mit Bezug auf die Rechtsverweigerungs- bzw. Rechts- verzögerungsbeschwerde (vgl. act. 1 S. 2 und 17) ist festzuhalten, dass der Beschwerdeführer bei der Beschwerdegegnerin aktenkundig zumindest zweimal wegen der Verfahrensdauer interveniert hat, nämlich mit Eingaben vom 18. Oktober 2017 und 17. April 2018 (act. 1.19 und 1.20).</w:t>
      </w:r>
    </w:p>
    <w:p>
      <w:r>
        <w:t>- 5 -</w:t>
      </w:r>
    </w:p>
    <w:p>
      <w:r>
        <w:rPr>
          <w:b/>
        </w:rPr>
        <w:t>E. 1.3.1</w:t>
      </w:r>
    </w:p>
    <w:p>
      <w:r>
        <w:t>Zur Beschwerde ist berechtigt, wer durch die angefochtene Amtshandlung oder die gerügte Säumnis berührt ist, ein schutzwürdiges Interesse an deren Aufhebung oder Änderung hat (Art. 28 Abs. 1 VStrR; TPF 2004 34 E. 2.1). Das zusätzlich erwähnte "Berührtsein" stellt nicht eine selbstständige und damit kumulativ zum schutzwürdigen Interesse zu erfüllende Legitimations- voraussetzung, sondern letztlich eine Präzisierung desselben dar (vgl. BGE 133 V 188 E. 4.3.1 S. 191 f.). Bei der Auslegung des VStrR ist gegebe- nenfalls auch die StPO beizuziehen (Beschluss des Bundesstrafgerichts BV.2017.26 vom 6. September 2017 E. 1.3).</w:t>
      </w:r>
    </w:p>
    <w:p>
      <w:r>
        <w:rPr>
          <w:b/>
        </w:rPr>
        <w:t>E. 1.3.2</w:t>
      </w:r>
    </w:p>
    <w:p>
      <w:r>
        <w:t>Der Beschwerdeführer als beschuldigte Partei im vorliegenden Verwaltungs- strafverfahren hat ohne Weiteres ein schutzwürdiges Interesse daran, dass das Verfahren unter Einhaltung des Beschleunigungsgebotes erledigt wird. Er ist daher zur Erhebung der Rechtsverzögerungsbeschwerde legitimiert.</w:t>
      </w:r>
    </w:p>
    <w:p>
      <w:r>
        <w:rPr>
          <w:b/>
        </w:rPr>
        <w:t>E. 1.3.3</w:t>
      </w:r>
    </w:p>
    <w:p>
      <w:r>
        <w:t>Der Beschwerdeführer ficht sodann lit. b), g) und h) der Beschlagnahmever- fügung vom 7. Mai 2018 an, nämlich:</w:t>
      </w:r>
    </w:p>
    <w:p>
      <w:r>
        <w:t>„b) Die im Rahmen der MWST Kontrolle der B. GmbH erhobenen Unterla- gen. […]</w:t>
      </w:r>
    </w:p>
    <w:p>
      <w:r>
        <w:t>g) Die anlässlich der Hausdurchsuchung vom 23. September 2015 bei A., sichergestellten Akten und Gegenstände gemäss Positionen C5-C41, C79 und C84-87 des Sicherstellungsprotokolls.</w:t>
      </w:r>
    </w:p>
    <w:p>
      <w:r>
        <w:t>h) Die anlässlich der Hausdurchsuchung vom 23. September 2015 bei der B. GmbH sichergestellten Akten und Gegenstände gemäss Positionen A11- A19 und A23-A127 des Sicherstellungsprotokolls.“</w:t>
      </w:r>
    </w:p>
    <w:p>
      <w:r>
        <w:t>Soweit der Beschwerdeführer die Beschlagnahme der an seinem Wohnort sichergestellten Unterlagen (lit. g) anficht, ist dieser dazu zumindest als Be- sitzer der fraglichen Dokumente zur Beschwerde legitimiert. Was hingegen die am Sitz der B. GmbH sichergestellten und beschlagnahmten Dokumente anbelangt (lit. h), ist nicht ersichtlich und wird vom Beschwerdeführer auch nicht dargelegt, inwiefern dieser durch deren Beschlagnahme berührt ist und ein schutzwürdiges Interesse an deren Aufhebung oder Änderung hat. Al- leine der Umstand, dass der Beschwerdeführer Gesellschafter und einzel- zeichnungsberechtigter Geschäftsführer der B. GmbH ist, vermag noch nicht dessen Legitimation zur Beschwerdeführung zu begründen. Mit Bezug auf lit. b) ist sodann festzuhalten, dass weder aus der Beschlagnahmeverfügung selbst noch aus den dem Gericht vorliegenden Akten hervorgeht, welche Do- kumente und Unterlagen anlässlich der MWST-Kontrolle erhoben worden</w:t>
      </w:r>
    </w:p>
    <w:p>
      <w:r>
        <w:t>- 6 -</w:t>
      </w:r>
    </w:p>
    <w:p>
      <w:r>
        <w:t>und nunmehr beschlagnahmt worden sind. Auch der Beschwerdeführer äus- sert sich dazu nicht. Dem Kontrollbericht vom 21. Juni 2013 ist einzig zu ent- nehmen, dass die Kontrollen in zwei Treuhandbüros („Treuhand I. und Treu- hand J.“) in X. und W. durchgeführt worden seien (act. 1.5). Es ist damit da- von auszugehen, dass es sich bei den beschlagnahmten Dokumenten ge- mäss lit. b) um in den Räumen der genannten Treuhandbüros sichergestellte Unterlagen handelt. Auch hier ist nicht ersichtlich und versäumt es der Be- schwerdeführer darzulegen, inwiefern er durch die Beschlagnahme dieser Dokumente berührt ist und ein schutzwürdiges Interesse an deren Aufhe- bung oder Änderung hat. Auf die Beschwerde betreffend Anfechtung der Be- schlagnahmeverfügung ist daher nur soweit einzutreten, als damit die Be- schlagnahme der am Wohnort des Beschwerdeführers sichergestellten und beschlagnahmten Dokumente angefochten wird.</w:t>
      </w:r>
    </w:p>
    <w:p>
      <w:r>
        <w:rPr>
          <w:b/>
        </w:rPr>
        <w:t>E. 2.1</w:t>
      </w:r>
    </w:p>
    <w:p>
      <w:r>
        <w:t>In formeller Hinsicht ist sodann Folgendes zu bemerken: Der Beschwerde- gegnerin wurde mit Schreiben vom 15. Juni 2018 Gelegenheit eingeräumt, eine allfällige Duplik bis zum 28. Juni 2018 einzureichen. Die Duplik ging beim Gericht mit Faxeingabe vom 28. Juni 2018 ein. Die Beschwerdegegne- rin bat darum, die Faxeingabe „infolge Dringlichkeit“ entgegen zu nehmen. Der Versand mit Briefpost erfolge am nächsten Tag (act. 12).</w:t>
      </w:r>
    </w:p>
    <w:p>
      <w:r>
        <w:rPr>
          <w:b/>
        </w:rPr>
        <w:t>E. 2.2</w:t>
      </w:r>
    </w:p>
    <w:p>
      <w:r>
        <w:t>Eingaben müssen spätestens am letzten Tag der Frist bei der Strafbehörde abgegeben oder zu deren Handen der Schweizerischen Post, einer schwei- zerischen diplomatischen oder konsularischen Vertretung oder, im Falle von inhaftierten Personen, der Anstaltsleitung übergeben werden (Art. 31 Abs. 2 VStrR i.V.m. Art. 91 Abs. 2 StPO). Das Beschwerdeverfahren vor der Be- schwerdekammer des Bundesstrafgerichts ist ein schriftliches Verfahren (Art. 39 Abs. 2 lit. a StBOG i.V.m. Art. 31 Abs. 2 VStrR und Art. 81 VStrR i.V.m. Art. 397 Abs. 1 StPO). Die Eingaben sind zu datieren und eigenhändig zu unterzeichnen (Art. 81 VStrR i.V.m. Art. 110 Abs. 1 StPO; Art. 14 Abs. 1 OR). Per Fax eingereichte Eingaben vermögen den Anforderungen an die Eigenhändigkeit der Unterschrift nicht zu genügen (Urteil des Bundes- gerichts 2C_754/2008 vom 23. Dezember 2008 E. 2.1). Ausnahmsweise sind Eingaben per Fax zuzulassen, wenn der Absender nach den konkreten Umständen des Falles den Zusicherungen und dem Verhalten der Behörde vertraute und gestützt darauf ernsthafte Gründe hatte zur Annahme, er sei berechtigt, seine Eingabe per Fax zu senden. Derartige Gründe liegen hier nicht vor. Im Gegenteil: Von einer Behörde wie der Beschwerdegegnerin kann erwartet werden, dass sie die einschlägigen Verfahrensbestimmungen kennt. Die per Fax am 28. Juni 2018 eingereichte Duplik kann daher nicht</w:t>
      </w:r>
    </w:p>
    <w:p>
      <w:r>
        <w:t>- 7 -</w:t>
      </w:r>
    </w:p>
    <w:p>
      <w:r>
        <w:t>als fristwahrend entgegen genommen werden. Die per Post am 29. Juni 2018 abgeschickte Duplik erweist sich als verspätet.</w:t>
      </w:r>
    </w:p>
    <w:p>
      <w:r>
        <w:t>Zu prüfen bleibt, ob die Beschwerdekammer die Stellungnahme der Be- schwerdegegnerin vom 28. Juni 2018 nicht dennoch berücksichtigen kann. Vorweg genommen werden kann, dass die Beschwerdegegnerin ein Gesuch um Wiederherstellung der Frist im Sinne von Art. 94 StPO nicht gestellt hat. Allerdings können gestützt auf Art. 32 Abs. 2 VwVG verspätete Parteivor- bringen, die ausschlaggebend erscheinen, trotz Verspätung berücksichtigt werden. Eine analoge Anwendung dieser Bestimmung erscheint vorliegend sachgerecht, zumal die Beschwerdekammer in Beschwerden gegen Zwangsmassnahmen über volle Kognition verfügt (vgl. Art. 28 Abs. 2 VStrR). Eine Berücksichtigung darf mit Blick auf den Anspruch auf rechtliches Gehör nur dann erfolgen, wenn die Gegenpartei Gelegenheit hatte, sich zur fragli- chen Eingabe zu äussern. Dies ist vorliegend der Fall (act. 20).</w:t>
      </w:r>
    </w:p>
    <w:p>
      <w:r>
        <w:t>Nach dem Gesagten kann die Beschwerdekammer im Folgenden auch die Duplik vom 28. Juni 2018 berücksichtigen, soweit sie die darin enthaltenen Vorbringen als ausschlaggebend erachtet.</w:t>
      </w:r>
    </w:p>
    <w:p>
      <w:r>
        <w:rPr>
          <w:b/>
        </w:rPr>
        <w:t>E. 3.1</w:t>
      </w:r>
    </w:p>
    <w:p>
      <w:r>
        <w:t>Zunächst ist auf die Rüge des Beschwerdeführers der Rechtsverweigerung bzw. Rechtsverzögerung einzugehen. Er macht in diesem Zusammenhang geltend, die Beschwerdegegnerin sei untätig und führe das Verfahren nur auf Drängen des Beschwerdeführers und schleppend voran. Die Beschwer- degegnerin sei daher anzuweisen, das Strafverfahren innert zwei Monaten zum Abschluss zu bringen (act. 1 S. 17).</w:t>
      </w:r>
    </w:p>
    <w:p>
      <w:r>
        <w:rPr>
          <w:b/>
        </w:rPr>
        <w:t>E. 3.2</w:t>
      </w:r>
    </w:p>
    <w:p>
      <w:r>
        <w:t>Zur Garantie eines gerechten Verfahrens nach Art. 29 Abs. 1 BV gehören der ausdrückliche Anspruch auf Beurteilung innert angemessener Frist und das Verbot der Rechtsverzögerung. Entsprechende Garantien ergeben sich aus Art. 6 Ziff. 1 EMRK. Sie gelten in allgemeiner Weise für sämtliche Sach- bereiche und alle Verfahren vor Gerichts- und Verwaltungsbehörden. Über- dies konkretisiert Art. 5 StPO das Beschleunigungsgebot für den Bereich des Strafrechts. Danach nehmen die Strafbehörden die Strafverfahren unverzüg- lich an die Hand und bringen sie ohne unbegründete Verzögerung zum Ab- schluss. Diese Grundsätze kommen sowohl auf die Behörden der Strafver- folgung (Art. 12 und 15 ff. StPO) wie auf die mit Strafsachen befassten Ge- richte (Art. 13 und 18 ff. StPO) zur Anwendung. Die Angemessenheit der Dauer des Verfahrens bestimmt sich nicht absolut und ihre Beurteilung ent- zieht sich starren Regeln. Sie ist im Einzelfall unter Berücksichtigung der ge- samten Umstände zu beurteilen und in ihrer Gesamtheit zu würdigen. Dabei</w:t>
      </w:r>
    </w:p>
    <w:p>
      <w:r>
        <w:t>- 8 -</w:t>
      </w:r>
    </w:p>
    <w:p>
      <w:r>
        <w:t>sind insbesondere die Art des Verfahrens und die konkreten Umstände einer Angelegenheit wie Umfang, Komplexität und Bedeutung des Verfahrens, das Verhalten der betroffenen Privaten und der Behörden, die Bedeutung für die Betroffenen sowie die für die Sache spezifischen Entscheidungsabläufe zu berücksichtigen. Die Behörden haben die bei ihnen hängigen Verfahren ohne unnötige Verzögerungen zum Abschluss zu bringen. Die Garantie von Art. 29 Abs. 1 BV ist verletzt, wenn eine Sache über Gebühr verschleppt wird und die Gesamtheit des Verfahrens nicht mehr angemessen ist. In Bezug auf Strafverfahren im Besondern gilt es namentlich zu verhindern, dass die beschuldigte Person unnötig lange Zeit über die gegen sie erhobenen Vor- würfe im Ungewissen belassen wird und den Belastungen des Strafverfah- rens ausgesetzt ist. Daher ist das Beschleunigungsgebot von den Behörden ab dem Zeitpunkt, in welchem die betroffene Person vom Verfahren Kenntnis hat und beeinträchtigt wird, zu beachten (vgl. zum Ganzen die Urteile des Bundesgerichts 6B_660/2016 vom 23. November 2016 E. 1.1; 1B_549/2012 vom 12. November 2012 E. 2.3; 1B_208/2012 vom 22. Juni 2012 E. 2 m.w.H.; siehe auch TPF 2008 86 E. 2.3 S. 87 f.; Beschlüsse des Bun- desstrafgerichts BB.2012.151 vom 23. Januar 2013 E. 2.1; BB.2011.52 vom 12. September 2011 E. 4.2; SUMMERS, in: Niggli/Heer/Wiprächtiger, Basler Kommentar, 2. Aufl. 2014, N. 2 zu Art. 5 StPO).</w:t>
      </w:r>
    </w:p>
    <w:p>
      <w:r>
        <w:rPr>
          <w:b/>
        </w:rPr>
        <w:t>E. 3.3</w:t>
      </w:r>
    </w:p>
    <w:p>
      <w:r>
        <w:t>Das Verfahren gegen den Beschwerdeführer wurde am 11. September 2013 eröffnet, die Verfahrenseröffnung diesem jedoch erst am 24. November 2014 zur Kenntnis gebracht (act. 1.6). Von der Mitteilung der Verfahrenseröffnung bis zum Erlass der angefochtenen Verfügung vom 7. Mai 2018 dauerte es knapp dreieinhalb Jahre. In dieser Zeit hat die Beschwerdegegnerin (wie be- reits supra unter lit. B. bis D. dargelegt) unter anderem Bankunterlagen her- ausverlangt, Kontosperren angeordnet und Hausdurchsuchungen durchge- führt. Zudem wurden am 22. Juni 2015 und 24. August 2017 Einvernahmen mit dem Beschwerdeführer durchgeführt. Im Rahmen der Untersuchung konnten dem Beschwerdeführer diverse sichergestellte Dokumente zurück- gegeben werden. Die Beschwerdegegnerin hatte in ihrer Untersuchung zahl- reiche Dokumente über einen Zeitraum von sechs Jahren zu sichten. Er- schwerend dürfte der Umstand gewesen sein, dass namhafte Bankkonten überhaupt erst im Rahmen der Untersuchung zum Vorschein gekommen sein sollen. Unter den gegebenen Umständen ist eine Untersuchungsdauer von dreieinhalb Jahren vom Zeitpunkt der Mitteilung der Verfahrenseröff- nung bis zum Erlass der angefochtenen Verfügung noch knapp mit dem Be- schleunigungsgebot vereinbar. Wie die Beschwerdegegnerin ausgeführt hat, verbleibt nun noch die Auswertung der mit Verfügung vom 7. Mai 2018 be- schlagnahmten Dokumente. Diese sowie der Abschluss des Strafverfahrens haben nun allerdings zügig zu erfolgen, um dem Beschleunigungsgebot ge- recht zu werden. Ist eine Rechtsverweigerung bzw. Rechtsverzögerung nicht</w:t>
      </w:r>
    </w:p>
    <w:p>
      <w:r>
        <w:t>- 9 -</w:t>
      </w:r>
    </w:p>
    <w:p>
      <w:r>
        <w:t>festgestellt, bleibt auch kein Raum, der Vorinstanz eine Frist im Sinne von Art. 397 Abs. 4 StPO zu setzen.</w:t>
      </w:r>
    </w:p>
    <w:p>
      <w:r>
        <w:t>Die Beschwerde erweist sich in diesem Punkt als unbegründet und ist dies- bezüglich abzuweisen.</w:t>
      </w:r>
    </w:p>
    <w:p>
      <w:r>
        <w:rPr>
          <w:b/>
        </w:rPr>
        <w:t>E. 4</w:t>
      </w:r>
    </w:p>
    <w:p>
      <w:r>
        <w:t>Vom untersuchenden Beamten mit Beschlag zu belegen sind Gegenstände, die als Beweismittel von Bedeutung sein können (Art. 46 Abs. 1 lit. a VStrR). Die Beschlagnahme in diesem Sinn ist eine provisorische (konservatorische) prozessuale Massnahme zur vorläufigen Sicherung von Beweismitteln (BGE 120 IV 164 E. 1c, 120 IV 297 E. 3e; 119 IV 326 E. 7e). Es genügt diesbezüglich eine gewisse Wahrscheinlichkeit, dass das Beweisobjekt un- mittelbar oder mittelbar mit der strafbaren Handlung in Zusammenhang steht (Beschluss des Bundesstrafgerichts BV.2014.79 vom 27. Februar 2015 E. 2.4.2). Für die Beschlagnahme ist eine solche potenzielle Beweiseignung aber nicht nur hinreichend, sondern auch erforderlich (vgl. hierzu BANGER- TER, Hausdurchsuchungen und Beschlagnahmen im Wettbewerbsrecht, Zürcher Diss., Zürich/Basel/Genf 2014, S. 236 m.w.H.). Es bedarf mit ande- ren Worten objektiver Anhaltspunkte, die eine direkte oder indirekte Verbin- dung zwischen dem zu beschlagnahmenden Objekt und der Straftat als wahrscheinlich erscheinen lassen (HEIMGARTNER, Strafprozessuale Be- schlagnahme, Zürich/Basel/Genf 2011, S. 131 f.). Allgemeine Vorausset- zung für die Beschlagnahme ist ein hinreichender, objektiv begründeter Tat- verdacht gegenüber dem Betroffenen. Gemäss ständiger Rechtsprechung der Beschwerdekammer setzt der hinreichende – in Abgrenzung zum drin- genden – Tatverdacht gerade nicht voraus, dass Beweise oder Indizien be- reits für eine erhebliche oder hohe Wahrscheinlichkeit einer Verurteilung sprechen. Der hinreichende Tatverdacht unterscheidet sich damit vom drin- genden Tatverdacht vor allem durch graduelle Elemente hinsichtlich der Be- weislage, wobei der Strafverfolgungsbehörde auch in der Sachverhaltsdar- stellung ein geringerer Konkretisierungsgrad zugebilligt werden muss. Das ändert jedoch nichts daran, dass sich ein derartiger Verdacht im Verlaufe der weiteren Ermittlungen verdichten muss. Im Gegensatz zum erkennenden Sachrichter hat die Beschwerdekammer bei der Überprüfung des Tatver- dachts keine erschöpfende Abwägung der in Betracht fallenden Tat- und Rechtsfragen vorzunehmen (BGE 124 IV 313 E. 4). Des Weiteren muss die Beschlagnahme im öffentlichen Interesse liegen und verhältnismässig sein, das heisst sie muss in einem angemessenen Verhältnis zur Schwere der Tat und zur Stärke des Tatverdachts stehen und für die Ermittlung notwendig und geeignet sein (vgl. zum Ganzen zuletzt die Beschlüsse des Bundesstraf- gerichts BV.2017.33 vom 17. November 2017 E. 2.1; BV.2017.25 vom 17. Oktober 2017 E. 3.2-3.3).</w:t>
      </w:r>
    </w:p>
    <w:p>
      <w:r>
        <w:t>- 10 -</w:t>
      </w:r>
    </w:p>
    <w:p>
      <w:r>
        <w:rPr>
          <w:b/>
        </w:rPr>
        <w:t>E. 5.1</w:t>
      </w:r>
    </w:p>
    <w:p>
      <w:r>
        <w:t>Die Beschwerdegegnerin führt zum Tatverdacht Folgendes aus: Der Be- schwerdeführer habe in der Zeit ab dem 1. Januar 2007 zahlreiche zum Teil kleine Bareinzahlungen auf mehrere Bankkonten bei der Bank C., bei der Bank D. AG, bei der Bank H. AG und bei der Bank K. AG vorgenommen, welche weder in der Bilanz der B. GmbH noch in den privaten Steuererklä- rungen des Beschwerdeführers erschienen seien. In Kombination mit den Feststellungen der MWST-Kontrolle, in welcher Unregelmässigkeiten in der Buchführung festgestellt worden seien, sei der Verdacht entstanden, dass es sich bei diesen Einzahlungen auf private Konten des Beschuldigten von rund CHF 1‘166’599.-- in den Jahren 2007 bis 2010 (bzw. CHF 1‘773‘515.-- und EUR 124‘606.-- in den Jahren 2007 bis 2013) um in der Buchhaltung der B. GmbH nicht erfasste mehrwertsteuerpflichte Einnahmen gehandelt habe. Der Verdacht sei mittlerweile insoweit entkräftet, als aufgrund der gegenwär- tigen Aktenlage plausibel erscheine, dass die Zahlungen auf die Konten bei der Bank H. AG, der Bank D. AG, bei der Bank C. und bei der Bank K. AG grösstenteils einen anderen Hintergrund hätten. Es verbleibe allerdings ein Differenzbetrag von ca. CHF 373‘000.--. Ob und inwieweit dieser Betrag auf einen nicht abgerechneten mehrwertsteuerpflichtigen Umsatz aus den Jah- ren 2007 bis 2013 zurückzuführen sei, müsse nun in der Auswertung der Buchhaltungs- und Bankunterlagen der Jahre 2007 bis 2013 geklärt werden. Dafür, dass vorsätzlich oder fahrlässig die Umsätze der B. GmbH nicht kor- rekt abgerechnet worden seien, gäbe es mehrere Anhaltspunkte: So sei an- lässlich der Kontrolle festgestellt worden, dass Zahlungen für die B. GmbH über ein weder in der privaten Steuererklärung des Beschwerdeführers noch in der Steuererklärung der B. GmbH deklariertes Konto erfolgt seien. Zahl- reiche Rechnungen und Belege seien ferner nicht ordentlich abgelegt, allen- falls auch nicht in Rechnung gestellt und/oder verbucht worden. Der Be- schwerdeführer habe sodann anlässlich der Einvernahme vom 22. Juni 2015 erklärt, er werde die nicht deklarierten Bankkonten nachmelden. In der Folge habe er dies jedoch unterlassen, sodass die Beschwerdegegnerin im Rah- men ihrer Ermittlungen weitere nicht deklarierte Bankkonten aufgedeckt habe. Zudem führe der Beschwerdeführer ein Konto, dessen wirtschaftlich Berechtigter faktisch sein Schwager L. sei (act. 1.1 S. 4; act. 2 S. 5).</w:t>
      </w:r>
    </w:p>
    <w:p>
      <w:r>
        <w:rPr>
          <w:b/>
        </w:rPr>
        <w:t>E. 5.2</w:t>
      </w:r>
    </w:p>
    <w:p>
      <w:r>
        <w:t>Ein Abgabebetrug liegt vor, wenn der Täter durch arglistiges Verhalten dem Gemeinwesen unrechtmässig und in einem erheblichen Betrag eine Abgabe, einen Beitrag oder eine andere Leistung vorenthält oder es sonst am Vermö- gen schädigt (Art. 14 Abs. 2 VStrR). Hinterziehung der Mehrwertsteuer liegt u.a. vor bei vorsätzlicher oder fahrlässiger Verkürzung der Steuerforderung zulasten des Staates, indem in einer Steuerperiode nicht sämtliche Einnah- men, zu hohe Einnahmen aus von der Steuer befreiten Leistungen, nicht</w:t>
      </w:r>
    </w:p>
    <w:p>
      <w:r>
        <w:t>- 11 -</w:t>
      </w:r>
    </w:p>
    <w:p>
      <w:r>
        <w:t>sämtliche der Bezugsteuer unterliegenden Ausgaben oder zu hohe zum Vor- steuerabzug berechtigende Ausgaben deklariert werden, eine unrechtmäs- sige Rückerstattung oder ein ungerechtfertigter Steuererlass erwirkt wird (Art. 96 Abs. 1 MWSTG). Wer vorsätzlich oder fahrlässig namentlich Ge- schäftsbücher, Belege, Geschäftspapiere und sonstige Aufzeichnungen nicht ordnungsgemäss führt, ausfertigt, aufbewahrt oder vorlegt, begeht eine Verletzung von Verfahrenspflichten (Art. 98 lit. e MWSTG).</w:t>
      </w:r>
    </w:p>
    <w:p>
      <w:r>
        <w:rPr>
          <w:b/>
        </w:rPr>
        <w:t>E. 5.3.1</w:t>
      </w:r>
    </w:p>
    <w:p>
      <w:r>
        <w:t>Der Beschwerdeführer macht geltend, er habe bereits mit Schreiben vom 21. September 2017 an die Beschwerdegegnerin ausgeführt, dass der Dif- ferenzbetrag von ca. CHF 352‘000.-- nichts mit den Geschäftsvorfällen der B. GmbH zu tun habe. Diese Zuschüsse aus dem Privatvermögen hätten als Finanzspritzen zur Gewährleistung der Liquidität der B. GmbH gedient. Im Einzelnen führte der Beschwerdeführer in seiner Stellungnahme vom 21. September 2017 was folgt aus: Aus dem Nachlass seines am 29. Oktober 2006 verstorbenen Vaters sei die am 11. Juli 2009 fällig gewordene Kassa- Obligation bei der Bank H. AG im Betrag von CHF 150‘000.-- auf das Konto der B. GmbH bei der Bank H. übertragen worden. Diese Obligation sei noch zu Lebzeiten des Vaters von diesem am 11. Juli 2006 begründet worden. Ausserdem habe der Beschwerdeführer vom WIR-Konto vier Tranchen à CHF 24‘000.--, total CHF 96‘000.--, auf das Bank D.-Konto der B. GmbH übertragen, nämlich am 25. Mai, 14. August und 9. Dezember 2009. Der Aktennachweis der vierten Tranche von CHF 24‘000.-- sei zufolge der Be- legbeschlagnahme zurzeit nicht möglich. Am 14. Februar 2011 habe der Be- schwerdeführer ferner zulasten seines Mietzinskontos bei der Bank M. den Barbetrag von CHF 80‘000.-- bezogen und ihn als „Rückzahlung Darlehen“ auf das Geschäftskonto einbezahlt. Am 14. April 2008 habe die Schwester des Beschwerdeführers ein von ihm im Jahr 2004 erhaltenes Darlehen von CHF 24‘000.-- auf dessen Konto bei der Bank H. AG zurückbezahlt. Schliesslich habe die Mutter des Beschwerdeführers am 23. April 2008 einen Betrag von CHF 4‘157.10 für Heizölverbrauch bezahlt und am 27. Feb- ruar 2007 die Kantonale Gebäudeversicherung aus dem Hochwasserscha- den 2005 den Betrag von CHF 3‘972.-- auf das Konto bei der Bank H. AG überwiesen (act. 1.18).</w:t>
      </w:r>
    </w:p>
    <w:p>
      <w:r>
        <w:rPr>
          <w:b/>
        </w:rPr>
        <w:t>E. 5.3.2</w:t>
      </w:r>
    </w:p>
    <w:p>
      <w:r>
        <w:t>Wie einem Schreiben der Beschwerdegegnerin vom 28. Juni 2018 an den Beschwerdeführer zu entnehmen ist, sei nach wie vor die Herkunft verschie- dener Zahlungen auf dem PC-Konto 1, den Konten bei der Bank H. 8, der Bank N. (Euro) 7, Bank N. 9 und 10 sowie dem Bank K. Privatkonto 11 zu klären. Die Auszahlung des Betrags von CHF 150‘000.-- aus dem Verfall der Obligation sei in der Berechnung nicht erfasst, da Kontoüberträge soweit</w:t>
      </w:r>
    </w:p>
    <w:p>
      <w:r>
        <w:t>- 12 -</w:t>
      </w:r>
    </w:p>
    <w:p>
      <w:r>
        <w:t>feststellbar in der Rechnung eliminiert worden seien. Bezüglich der Übertra- gung vom WIR-Konto und der Rückzahlung des Darlehens von CHF 80‘000.- - bestünden noch offene Fragen. Immerhin sei die Herkunft von drei Einzah- lungen zu je CHF 24‘000.-- auf das PC-Konto 1 geklärt. Die Überweisungen von der Schwester und der Mutter des Beschwerdeführers sowie von der Kantonalen Gebäudeversicherung seien in der Berechnung ebenfalls nicht erfasst worden. Zusammenfassend könne festgehalten werden, dass abge- sehen von einem Betrag von CHF 72‘000.-- und somit für Zahlungen von mindestens CHF 300‘000.-- davon auszugehen sei, dass es sich nicht um deklarierten Umsatz handle (act. 13.3).</w:t>
      </w:r>
    </w:p>
    <w:p>
      <w:r>
        <w:rPr>
          <w:b/>
        </w:rPr>
        <w:t>E. 5.4</w:t>
      </w:r>
    </w:p>
    <w:p>
      <w:r>
        <w:t>Im gegenwärtigen Verfahrensstadium kann nicht ausgeschlossen werden, dass Einzahlungen auf diverse Konten getätigt worden sind, die aus der Ge- schäftstätigkeit der B. GmbH herrühren und nicht als der Mehrwertsteuer un- terliegend deklariert worden sind. Die Beschwerdegegnerin wird nun anhand der Geschäftsunterlagen die Herkunft der Einzahlungen zu prüfen haben. Ob dabei tatsächlich Zahlungen für die B. GmbH über Konten erfolgt sind, die weder vom Beschwerdeführer noch von der B. GmbH deklariert worden sein sollen – was der Beschwerdeführer bestreitet (act. 1 S. 13 f.) – wird Gegen- stand der Auswertung der beschlagnahmten Dokumente sein. Es gilt der Grundsatz in dubio pro duriore (BGE 138 IV 186 E. 4.1; 137 IV 219 E. 7.3; Urteile des Bundesgerichts 1B_441/2012 vom 4. März 2013 E. 2.1; 1B_640/2011 vom 9. Februar 2012 E. 2.3; Entscheid des Bundesstrafge- richts BB.2012.66 vom 5. Februar 2013 E. 3.8). Danach sind Unklarheiten, bis zum Abschluss der Untersuchung, im Sinne der Vorwürfe zu erklären. Der hinreichende Tatverdacht hinsichtlich der Hinterziehung der Mehrwert- steuer im Sinne von Art. 96 Abs. 1 lit. a MWSTG ist gestützt auf die gegen- wärtige Aktenlage zu bejahen. Insbesondere bei Vorliegen von Arglist bei der Tatbegehung lässt sich das Vorgehen allenfalls unter den Tatbestand des Abgabebetrugs nach Art. 14 Abs. 2 VStrR subsumieren. Das Nichterfas- sen von Umsätzen in der Buchhaltung stellt zudem eine Verletzung der Ver- fahrenspflichten im Sinne von Art. 98 lit. e MWSTG dar. Die Verwaltungs- strafuntersuchung richtet sich dabei gegen diejenigen natürlichen Personen, welche die Tat vermutlich verübt haben (Art. 6 Abs. 1 VStrR), mitunter gegen den Beschwerdeführer als Geschäftsführer der B. GmbH.</w:t>
      </w:r>
    </w:p>
    <w:p>
      <w:r>
        <w:rPr>
          <w:b/>
        </w:rPr>
        <w:t>E. 6.1</w:t>
      </w:r>
    </w:p>
    <w:p>
      <w:r>
        <w:t>Der Beschwerdeführer rügt sodann sinngemäss die Beweistauglichkeit der beschlagnahmten Dokumente (act. 1 S. 13).</w:t>
      </w:r>
    </w:p>
    <w:p>
      <w:r>
        <w:rPr>
          <w:b/>
        </w:rPr>
        <w:t>E. 6.2</w:t>
      </w:r>
    </w:p>
    <w:p>
      <w:r>
        <w:t>Bei den beschlagnahmten Akten handelt es sich gemäss Sicherstellungspro- tokoll vom 23. September 2015 um Buchhaltungsunterlagen der B. GmbH</w:t>
      </w:r>
    </w:p>
    <w:p>
      <w:r>
        <w:t>- 13 -</w:t>
      </w:r>
    </w:p>
    <w:p>
      <w:r>
        <w:t>der Jahre 2012 und 2013. Diese stehen in unmittelbarem Zusammenhang mit den dem Beschwerdeführer zur Last gelegten strafbaren Handlungen. Die angefochtene Beschlagnahme ist geeignet, zur Klärung des untersu- chenden Sachverhalts beizutragen. Auch erweist sie sich angesichts der Schwere des Tatvorwurfs als gerechtfertigt.</w:t>
      </w:r>
    </w:p>
    <w:p>
      <w:r>
        <w:rPr>
          <w:b/>
        </w:rPr>
        <w:t>E. 7.1</w:t>
      </w:r>
    </w:p>
    <w:p>
      <w:r>
        <w:t>Soweit schliesslich der Beschwerdeführer die Einrede der Verjährung der Steuerforderungen erhebt, erweist sich diese Rüge als unbegründet:</w:t>
      </w:r>
    </w:p>
    <w:p>
      <w:r>
        <w:rPr>
          <w:b/>
        </w:rPr>
        <w:t>E. 7.2</w:t>
      </w:r>
    </w:p>
    <w:p>
      <w:r>
        <w:t>Vorliegend geht es um Steuerforderungen für die Jahre 2007 bis 2013. Ge- mäss Art. 42 Abs. 1 MWSTG verjährt das Recht, eine Steuerforderung fest- zusetzen, fünf Jahre nach Ablauf der Steuerperiode, in der die Steuerforde- rung entstanden ist. Die Verjährung steht still, solange für die entsprechende Steuerperiode ein Steuerstrafverfahren nach dem MWSTG durchgeführt wird und der zahlungspflichtigen Person dies mitgeteilt worden ist (Art. 42 Abs. 4 MWSTG). Das Recht, die Steuerforderung festzusetzen, verjährt in jedem Fall zehn Jahre nach Ablauf der Steuerperiode, in der die Steuerfor- derung entstanden ist (Art. 42 Abs. 6 MWSTG). Für Steuerforderungen vor dem Jahre 2010 richtet sich gemäss Art. 112 Abs. 1 MWSTG die Verjährung nach dem bisherigen Recht, nämlich nach den Art. 49 und 50 aMWSTG. Da- nach verjähren die Steuerforderungen ebenfalls fünf Jahre nach Ablauf des Kalenderjahres, in dem sie entstanden sind (Art. 49 Abs.1 aMWSTG). Hin- gegen beträgt die absolute Verjährungsfrist 15 Jahre nach Ablauf des Kalen- derjahres, in dem die Steuerforderung entstanden ist (Art. 49 Abs. 4 aMWSTG).</w:t>
      </w:r>
    </w:p>
    <w:p>
      <w:r>
        <w:t>Damit ist vorliegend für keine der Steuerforderungen die absolute Verjährung eingetreten, sodass es sich erübrigt, einen allfälligen Unterbruch oder Still- stand der Frist zu prüfen.</w:t>
      </w:r>
    </w:p>
    <w:p>
      <w:r>
        <w:rPr>
          <w:b/>
        </w:rPr>
        <w:t>E. 8</w:t>
      </w:r>
    </w:p>
    <w:p>
      <w:r>
        <w:t>Zusammenfassend erweist sich die Beschwerde in allen Punkten als unbe- gründet. Sie ist daher vollumfänglich abzuweisen, soweit darauf einzutreten ist.</w:t>
      </w:r>
    </w:p>
    <w:p>
      <w:r>
        <w:rPr>
          <w:b/>
        </w:rPr>
        <w:t>E. 9</w:t>
      </w:r>
    </w:p>
    <w:p>
      <w:r>
        <w:t>Bei diesem Ausgang des Verfahrens hat der unterliegende Beschwerdefüh- rer die Gerichtskosten zu tragen (Art. 25 Abs. 4 VStrR i.V.m. Art. 66 Abs. 1 und Abs. 5 BGG analog; vgl. dazu TPF 2011 25 E. 3). Die Gerichtsgebühr ist auf Fr. 2'000.-- festzusetzen (Art. 25 Abs. 4 VStrR i.V.m. Art. 73 StBOG</w:t>
      </w:r>
    </w:p>
    <w:p>
      <w:r>
        <w:t>- 14 -</w:t>
      </w:r>
    </w:p>
    <w:p>
      <w:r>
        <w:t>und Art. 5 sowie Art. 8 Abs. 1 BStKR), unter Anrechnung des geleisteten Kostenvorschusses in derselben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