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BV.2018.24 vom 19. Dezember 2018</w:t>
      </w:r>
    </w:p>
    <w:p>
      <w:r>
        <w:t>Bundesstrafgericht, 2018-12-19, DE</w:t>
      </w:r>
    </w:p>
    <w:p>
      <w:r>
        <w:rPr>
          <w:b/>
        </w:rPr>
        <w:t xml:space="preserve">Quelle: </w:t>
      </w:r>
      <w:r>
        <w:t>https://mcp.opencaselaw.ch/entscheid/bstger_BV.2018.24</w:t>
      </w:r>
    </w:p>
    <w:p>
      <w:r>
        <w:t>FR: TPF BV.2018.24 du 19 décembre 2018</w:t>
      </w:r>
    </w:p>
    <w:p>
      <w:r>
        <w:t>IT: TPF BV.2018.24 del 19 dicembre 2018</w:t>
      </w:r>
    </w:p>
    <w:p>
      <w:pPr>
        <w:pStyle w:val="Heading2"/>
      </w:pPr>
      <w:r>
        <w:t>Regeste</w:t>
      </w:r>
    </w:p>
    <w:p>
      <w:r>
        <w:t>Hausdurchsuchung (Art. 48 f. VStrR). Entsiegelung (Art. 50 Abs. 3 VStrR).</w:t>
      </w:r>
    </w:p>
    <w:p>
      <w:pPr>
        <w:pStyle w:val="Heading2"/>
      </w:pPr>
      <w:r>
        <w:t>Erwägungen</w:t>
      </w:r>
    </w:p>
    <w:p>
      <w:r>
        <w:rPr>
          <w:b/>
        </w:rPr>
        <w:t>E. 1</w:t>
      </w:r>
    </w:p>
    <w:p>
      <w:r>
        <w:t>VStrR). Soweit das VStrR einzelne Fragen nicht abschliessend regelt, sind die Bestimmungen der StPO grundsätzlich analog anwendbar (BGE 139 IV 246 E. 1.2 S. 248, E. 3.2 S. 249; Urteile des Bundesgerichts 1B_210/2017 vom 23. Oktober 2017 E. 1.1; 1B_91/2016 vom 4. August 2016 E. 4.1; zum Ganzen Urteil des Bundesgerichts 1B_433/2017 vom 21. März 2018 E. 1.1). Ein rechtlich geschütztes Interesse an der Aufhebung oder Änderung eines Entscheides und damit eine für das Vorliegen der Beschwerdelegitimation erforderliche Beschwer ist nur dann zu bejahen, wenn der Beschwerdeführer selbst in seinen eigenen Rechten unmittelbar und direkt betroffen ist (vgl. zum Ganzen ausführlich GUIDON, Die Beschwerde gemäss Schweizerischer Strafprozessordnung, 2011, N. 232 ff.; SCHMID/JOSITSCH, Handbuch des schweizerischen Strafprozessrechts, 3. Aufl. 2017, N. 1458). Das Interesse an der Aufhebung oder Änderung eines Entscheides gemäss Art. 382 Abs. 1 StPO hat nach der bundesgerichtlichen Rechtsprechung zudem ein aktuel- les und praktisches zu sein (statt vieler: Urteil des Bundesgerichts 6B_1153/2016 vom 23. Januar 2018 E. 2.3.1; Beschluss des Bundesstraf- gerichts BB.2018.89 vom 14. Juni 2018 E. 1.2).</w:t>
      </w:r>
    </w:p>
    <w:p>
      <w:r>
        <w:t>- 7 -</w:t>
      </w:r>
    </w:p>
    <w:p>
      <w:r>
        <w:rPr>
          <w:b/>
        </w:rPr>
        <w:t>E. 1.1</w:t>
      </w:r>
    </w:p>
    <w:p>
      <w:r>
        <w:t>Gemäss dem Bundesgesetz vom 15. Dezember 2000 über Arzneimittel und Medizinprodukte (Heilmittelgesetz, HMG; SR 812.21) wird die Strafverfol- gung im Vollzugsbereich des Bundes vom Schweizerischen Heilmittelinstitut Swissmedic nach den Bestimmungen des Bundesgesetzes vom 22. März 1974 über das Verwaltungsstrafrecht (VStrR; SR 313.0) geführt (Art. 90 Abs. 1 HMG; vgl. auch Art. 1 VStrR). Das Institut ist eine öffentlich-rechtliche Anstalt mit eigener Rechtspersönlichkeit (Art. 68 Abs. 2 HMG). Der Straf- rechtsdienst von Swissmedic ist im vorliegenden Fall für die Strafuntersu- chung im Vollzugsbereich des Bundes zuständig.</w:t>
      </w:r>
    </w:p>
    <w:p>
      <w:r>
        <w:rPr>
          <w:b/>
        </w:rPr>
        <w:t>E. 1.2</w:t>
      </w:r>
    </w:p>
    <w:p>
      <w:r>
        <w:t>Auch nach dem Inkrafttreten der Eidgenössischen Strafprozessordnung (StPO; SR 312.0) und des Strafbehördenorganisationsgesetzes des Bundes (StBOG; SR 173.71) am 1. Januar 2011 bleibt das VStrR auf Fälle der Bun- desgerichtsbarkeit in Verwaltungsstrafsachen weiterhin anwendbar. Das VStrR wurde durch die StPO (Anhang 1 Ziff. II/11) und das StBOG (Anhang Ziff. II/9) teilweise geändert. Die Bestimmungen der StPO sind insoweit er- gänzend oder sinngemäss anwendbar, als das VStrR dies ausdrücklich fest- legt (vgl. Art. 22, Art. 30 Abs. 2-3, Art. 31 Abs. 2, Art. 41 Abs. 2, Art. 43 Abs. 2, Art. 58 Abs. 3, Art. 60 Abs. 2, Art. 80 Abs. 1, Art. 82, Art. 89 und Art. 97 Abs.</w:t>
      </w:r>
    </w:p>
    <w:p>
      <w:r>
        <w:rPr>
          <w:b/>
        </w:rPr>
        <w:t>E. 1.3</w:t>
      </w:r>
    </w:p>
    <w:p>
      <w:r>
        <w:t>Angefochten ist der Durchsuchungsbefehl des Direktors von Swissmedic vom 6. August 2018. Er betrifft die Räumlichkeiten der Stiftung D. A. persön- lich ist von der Durchsuchung dieser Räumlichkeiten nicht betroffen und da- her nicht beschwerdelegitimiert, weshalb auf die Beschwerde nicht einzutre- ten ist.</w:t>
      </w:r>
    </w:p>
    <w:p>
      <w:r>
        <w:rPr>
          <w:b/>
        </w:rPr>
        <w:t>E. 2.1</w:t>
      </w:r>
    </w:p>
    <w:p>
      <w:r>
        <w:t>Über die Zulässigkeit einer Durchsuchung von versiegelten (angeblich ge- heimnisgeschützten) Aufzeichnungen und Gegenständen entscheidet im Verwaltungsstrafverfahren (auf Gesuch der untersuchenden Verwaltungs- strafbehörde hin) die Beschwerdekammer des Bundesstrafgerichts (Art. 50 Abs. 3 i.V.m. Art. 25 Abs. 1 VStrR und Art. 37 Abs. 2 lit. b StBOG). Der Beschwerdeführer verlangt in seiner Eingabe vom 9. August 2018, dass die sichergestellten Dokumente zu siegeln seien (act. 1 S. 3). Gemäss der Stellungnahme von Swissmedic müsse dies als ein Gesuch um Siegelung verstanden werden. Indessen habe die zuständige Untersuchungsleiterin bereits vom Inhalt des Dokumentes Kenntnis genommen. Dieses sei kopiert und das Original retourniert worden. Das Dokument sei zudem mit Verfügung vom 9. August 2018 bereits beschlagnahmt worden. Im Übrigen bringe nicht einmal der Beschwerdeführer vor, dass ein Berufsgeheimnis bestehe (act. 2 S. 2 f.).</w:t>
      </w:r>
    </w:p>
    <w:p>
      <w:r>
        <w:rPr>
          <w:b/>
        </w:rPr>
        <w:t>E. 2.2</w:t>
      </w:r>
    </w:p>
    <w:p>
      <w:r>
        <w:t>Zuständig zum Entscheid über das Siegelungsbegehren ist Swissmedic, wozu das Siegelungsgesuch an Swissmedic zur Behandlung weiterzuleiten ist. Dabei wird namentlich zu entscheiden sein über die Rechtzeitigkeit des Siegelungsbegehrens und die Rolle der Formularbelehrung (vgl. dazu Urteil des Bundesgerichts 1B_91/2016 vom 4. August 2016 E. 4.4/4.5/5.4), die Frage der Legitimation des Beschwerdeführers zu einem Siegelungsbegeh- ren (vgl. BGE 140 IV 28 E. 4.3.1–4.3.8, zu Art. 246 ff. StPO) und ob die Be- gründung des Siegelungsbegehrens für die Gültigkeit relevant sei (vgl. Urteil des Bundesgerichts 1B_219/2017 vom 23. August 2017 E. 3.1). Zu erwägen wird weiter sein, ob vor dem Entscheid über ein Siegelungsbegehren über- haupt eine Beschlagnahme erfolgen kann (vgl. BGE 144 IV 74 E. 2.3, Urteil des Bundesgerichts 1B_555/2017 vom 22. Juni 2018 E. 3.2). Eine allfällige Entsiegelung könnte anschliessend von Swissmedic vor der Beschwerde- kammer beantragt werden. Auf das Siegelungsgesuch ist entsprechend vor- liegend nicht einzutreten.</w:t>
      </w:r>
    </w:p>
    <w:p>
      <w:r>
        <w:rPr>
          <w:b/>
        </w:rPr>
        <w:t>E. 3</w:t>
      </w:r>
    </w:p>
    <w:p>
      <w:r>
        <w:t>Der Beschwerdeführer stellt mit Eingabe vom 29. August 2018 (act. 7 S. 11) eine Reihe von weiteren Anträgen. Verlangt wird eine Einstellung der Unter- suchung, eine Entschädigung, eine Überprüfung der Marktüberwachung und</w:t>
      </w:r>
    </w:p>
    <w:p>
      <w:r>
        <w:t>- 8 -</w:t>
      </w:r>
    </w:p>
    <w:p>
      <w:r>
        <w:t>ob während der Untersuchung gewisse Straftatbestände erfüllt worden seien. Darüber ist nicht durch die Beschwerdeinstanz, sondern durch die ver- fahrensführende Untersuchungsbehörde zu befinden. Sie ist zuständig, über Verfahrensanträge zu entscheiden. Auf die genannten weiteren Anträge ist daher nicht einzutreten.</w:t>
      </w:r>
    </w:p>
    <w:p>
      <w:r>
        <w:rPr>
          <w:b/>
        </w:rPr>
        <w:t>E. 4</w:t>
      </w:r>
    </w:p>
    <w:p>
      <w:r>
        <w:t>Art. 25 Abs. 4 VStrR bestimmt, dass Verfahren vor der Beschwerdekammer des Bundesstrafgerichts kostenpflichtig sind. Art. 25 Abs. 4 VStrR verweist im Übrigen auf Art. 73 StBOG. Dieser Artikel enthält u.a. eine Delegati- onsnorm für die Berechnung der Verfahrenskosten (Art. 73 Abs. 1 lit. a StBOG) sowie Grundsätze für die Gebührenbemessung (Art. 73 Abs. 2 StBOG) und führt für die Kosten das Reglement des Bundesstrafgerichts vom 31. August 2010 über die Kosten, Gebühren und Entschädigungen in Bundesstrafverfahren (BStKR; SR 173.713.162) an. Für die Kostenvertei- lung zwischen den Parteien wurde einerseits Art. 66 Abs. 1 BGG analog her- angezogen (TPF 2011 25 E. 3, vgl. aber BGE 131 II 562 E. 3.4). Bei Ge- richtskosten greifen das Kostendeckungs- und Äquivalenzprinzip nicht (BGE 143 I 227 E. 4.3.1, 4.2.3; anders BGE 141 I 105 E. 3.3.2); Gerichts- kosten werden indes in Anlehnung an das Verursacherprinzip in der Regel nach Obsiegen/Unterliegen verteilt (Beschluss des Bundesstrafgerichts BE.2013.16 vom 27. Februar 2014 E. 7). Bei vorliegendem Ausgang des Verfahrens hat der Beschwerdeführer als unterliegende Partei die Gerichtskosten zu tragen (vgl. Art. 25 Abs. 4 VStrR). Die Gerichtsgebühr ist in Anwendung von Art. 5 und 8 BStKR auf Fr. 500.-- festzusetzen, unter Anrechnung des geleisteten Kostenvorschusses von Fr. 2'000.-- (act. 3). Die Kasse des Bundesstrafgerichts ist anzuweisen, dem Beschwerdeführer den Restbetrag von Fr. 1'500.-- zurückzuerstatten.</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