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BV.2018.21 vom 7. August 2018</w:t>
      </w:r>
    </w:p>
    <w:p>
      <w:r>
        <w:t>Bundesstrafgericht, 2018-08-07, DE</w:t>
      </w:r>
    </w:p>
    <w:p>
      <w:r>
        <w:rPr>
          <w:b/>
        </w:rPr>
        <w:t xml:space="preserve">Quelle: </w:t>
      </w:r>
      <w:r>
        <w:t>https://mcp.opencaselaw.ch/entscheid/bstger_BV.2018.21</w:t>
      </w:r>
    </w:p>
    <w:p>
      <w:r>
        <w:t>FR: TPF BV.2018.21 du 7 août 2018</w:t>
      </w:r>
    </w:p>
    <w:p>
      <w:r>
        <w:t>IT: TPF BV.2018.21 del 7 agosto 2018</w:t>
      </w:r>
    </w:p>
    <w:p>
      <w:pPr>
        <w:pStyle w:val="Heading2"/>
      </w:pPr>
      <w:r>
        <w:t>Regeste</w:t>
      </w:r>
    </w:p>
    <w:p>
      <w:r>
        <w:t>Entschädigung bei Einstellung (Art. 100 Abs. 4 VStrR).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November 2017; BV.2017.43 vom 26. Oktober 2017; je m.w.H.);</w:t>
      </w:r>
    </w:p>
    <w:p>
      <w:r>
        <w:t>- dies auch für die Beschwerde i.S.v. Art. 100 Abs. 4 VStrR gilt, umso mehr, als Art. 100 Abs. 4 VStrR eine im Vergleich zu Art. 28 Abs. 3 VStrR viel län- gere Rechtsmittelfrist vorsieht;</w:t>
      </w:r>
    </w:p>
    <w:p>
      <w:r>
        <w:t>- auf die vorliegende Beschwerde daher ohne Durchführung eines Schriften- wechsels nicht einzutreten ist (vgl. Art. 390 Abs. 2 StPO e contrario i.V.m. Art. 82 VStrR; Beschlüsse des Bundesstrafgerichts BV.2017.45 vom 7. No- vember 2017; BV.2017.43 vom 26. Oktober 2017);</w:t>
      </w:r>
    </w:p>
    <w:p>
      <w:r>
        <w:t>- sich damit auch die Behandlung des Sistierungsgesuchs erübrigt;</w:t>
      </w:r>
    </w:p>
    <w:p>
      <w:r>
        <w:t>- die Gerichtskosten bei diesem Ausgang des Verfahrens dem Beschwerde- führer aufzuerlegen sind (Art. 66 Abs. 1 BGG analog; TPF 2011 25 E. 3);</w:t>
      </w:r>
    </w:p>
    <w:p>
      <w:r>
        <w:t>- die Gerichtsgebühr vorliegend auf Fr. 500.– festzusetzen ist (Art. 25 Abs. 4 VStrR i.V.m. Art. 73 StBOG sowie Art. 5 und Art.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