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BV.2017.49 vom 21. November 2017</w:t>
      </w:r>
    </w:p>
    <w:p>
      <w:r>
        <w:t>Bundesstrafgericht, 2017-11-21, FR</w:t>
      </w:r>
    </w:p>
    <w:p>
      <w:r>
        <w:rPr>
          <w:b/>
        </w:rPr>
        <w:t xml:space="preserve">Quelle: </w:t>
      </w:r>
      <w:r>
        <w:t>https://mcp.opencaselaw.ch/entscheid/bstger_BV.2017.49</w:t>
      </w:r>
    </w:p>
    <w:p>
      <w:r>
        <w:t>FR: TPF BV.2017.49 du 21 novembre 2017</w:t>
      </w:r>
    </w:p>
    <w:p>
      <w:r>
        <w:t>IT: TPF BV.2017.49 del 21 novembre 2017</w:t>
      </w:r>
    </w:p>
    <w:p>
      <w:pPr>
        <w:pStyle w:val="Heading2"/>
      </w:pPr>
      <w:r>
        <w:t>Regeste</w:t>
      </w:r>
    </w:p>
    <w:p>
      <w:r>
        <w:t>Actes (art. 27 al. 1 et 3 DPA). Mesures provisionnelles (art. 28 al. 5 DPA).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plainte est irrecevable.</w:t>
      </w:r>
    </w:p>
    <w:p>
      <w:r>
        <w:rPr>
          <w:b/>
        </w:rPr>
        <w:t>E. 2</w:t>
      </w:r>
    </w:p>
    <w:p>
      <w:r>
        <w:t>La demande de mesures provisionnelles est sans objet.</w:t>
      </w:r>
    </w:p>
    <w:p>
      <w:r>
        <w:rPr>
          <w:b/>
        </w:rPr>
        <w:t>E. 3</w:t>
      </w:r>
    </w:p>
    <w:p>
      <w:r>
        <w:t>Un émolument de CHF 500.-- est mis à la charge du plaignant.</w:t>
      </w:r>
    </w:p>
    <w:p>
      <w:r>
        <w:t>Bellinzone, le 22 novembre 2017</w:t>
      </w:r>
    </w:p>
    <w:p>
      <w:r>
        <w:t>Au nom de la Cour des plaintes du Tribunal pénal fédéral</w:t>
      </w:r>
    </w:p>
    <w:p>
      <w:r>
        <w:t>Le président: Le greffier:</w:t>
      </w:r>
    </w:p>
    <w:p>
      <w:r>
        <w:t>Distribution</w:t>
      </w:r>
    </w:p>
    <w:p>
      <w:r>
        <w:t>- Me Nicolas Urech - Administration fédérale des contributions</w:t>
      </w:r>
    </w:p>
    <w:p>
      <w:r>
        <w:t>Indication des voies de recours Dans les 30 jours qui suivent leur notification, les arrêts de la Cour des plaintes relatifs aux mesures de contrainte sont sujets à recours devant le Tribunal fédéral (art. 79 et 100 al. 1 de la loi fédérale du 17 juin 2005 sur le Tribunal fédéral; LTF). La procédure est réglée par les art. 90 ss LTF. Le recours ne suspend l’exécution de l’arrêt attaqué que si le juge instructeur l’ordonne (art. 103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