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BV.2017.45 vom 7. November 2017</w:t>
      </w:r>
    </w:p>
    <w:p>
      <w:r>
        <w:t>Bundesstrafgericht, 2017-11-07, DE</w:t>
      </w:r>
    </w:p>
    <w:p>
      <w:r>
        <w:rPr>
          <w:b/>
        </w:rPr>
        <w:t xml:space="preserve">Quelle: </w:t>
      </w:r>
      <w:r>
        <w:t>https://mcp.opencaselaw.ch/entscheid/bstger_BV.2017.45</w:t>
      </w:r>
    </w:p>
    <w:p>
      <w:r>
        <w:t>FR: TPF BV.2017.45 du 7 novembre 2017</w:t>
      </w:r>
    </w:p>
    <w:p>
      <w:r>
        <w:t>IT: TPF BV.2017.45 del 7 novembre 2017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April 2011);</w:t>
      </w:r>
    </w:p>
    <w:p>
      <w:r>
        <w:t>- auf die vorliegende Beschwerde daher ohne Durchführung eines Schriften- wechsels nicht einzutreten ist (vgl. Art. 82 VStrR i.V.m. Art. 390 Abs. 2 StPO e contrario);</w:t>
      </w:r>
    </w:p>
    <w:p>
      <w:r>
        <w:t>- die Gerichtskosten bei diesem Ausgang des Verfahrens dem Beschwerde- führer aufzuerlegen sind (Art. 66 Abs. 1 BGG analog; TPF 2011 25 E. 3);</w:t>
      </w:r>
    </w:p>
    <w:p>
      <w:r>
        <w:t>- die Gerichtsgebühr vorliegend auf Fr. 200.-- festzusetzen ist (Art. 25 Abs. 4 VStrR i.V.m. Art. 73 StBOG und Art. 5 und 8 Abs. 1 des Reglements des Bundesstrafgerichts vom 31. August 2010 über die Kosten, Gebühren und Entschädigungen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