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BV.2017.44 vom 13. Dezember 2017</w:t>
      </w:r>
    </w:p>
    <w:p>
      <w:r>
        <w:t>Bundesstrafgericht, 2017-12-13, DE</w:t>
      </w:r>
    </w:p>
    <w:p>
      <w:r>
        <w:rPr>
          <w:b/>
        </w:rPr>
        <w:t xml:space="preserve">Quelle: </w:t>
      </w:r>
      <w:r>
        <w:t>https://mcp.opencaselaw.ch/entscheid/bstger_BV.2017.44</w:t>
      </w:r>
    </w:p>
    <w:p>
      <w:r>
        <w:t>FR: TPF BV.2017.44 du 13 décembre 2017</w:t>
      </w:r>
    </w:p>
    <w:p>
      <w:r>
        <w:t>IT: TPF BV.2017.44 del 13 dicembre 2017</w:t>
      </w:r>
    </w:p>
    <w:p>
      <w:pPr>
        <w:pStyle w:val="Heading2"/>
      </w:pPr>
      <w:r>
        <w:t>Regeste</w:t>
      </w:r>
    </w:p>
    <w:p>
      <w:r>
        <w:t>Beschlagnahme (Art. 46 f. VStrR).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November 2017 zu laufen begann;</w:t>
      </w:r>
    </w:p>
    <w:p>
      <w:r>
        <w:t>- sich die über einen Monat später erhobene Beschwerde nach dem Gesagten als deutlich verspätet erweist;</w:t>
      </w:r>
    </w:p>
    <w:p>
      <w:r>
        <w:t>- der Beschwerdeführer seine Beschwerde mit Eingabe vom 6. November 2017 zudem zurückzog (act. 4);</w:t>
      </w:r>
    </w:p>
    <w:p>
      <w:r>
        <w:t>- der Rückzug der Beschwerde im Bereich des Verwaltungsstrafrechts den Rechtsstreit beendet, weshalb das Beschwerdeverfahren als erledigt abge- schrieben werden kann (vgl. hierzu u. a. den Beschluss des Bundesstrafge- richts BV.2017.36 vom 9. August 2017 m.H.);</w:t>
      </w:r>
    </w:p>
    <w:p>
      <w:r>
        <w:t>- die Gerichtskosten bei diesem Ausgang des Verfahrens dem Beschwerde- führer aufzuerlegen sind (Art. 66 Abs. 1 BGG analog; siehe hierzu TPF 2011 25 E. 3);</w:t>
      </w:r>
    </w:p>
    <w:p>
      <w:r>
        <w:t>- die Gerichtsgebühr für das vorliegende Verfahren auf das gesetzlich und reglementarisch vorgesehene Minimum von Fr. 200.– festzusetzen ist (Art. 25 Abs. 4 VStrR i.V.m. Art. 73 StBOG und Art. 5 und 8 Abs. 1 des Reg- lements des Bundesstrafgerichts vom 31. August 2010 über die Kosten, Ge- bühren und Entschädigungen in Bundesstrafverfahren [BStKR; SR 173.713.162]);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