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BV.2017.43 vom 26. Oktober 2017</w:t>
      </w:r>
    </w:p>
    <w:p>
      <w:r>
        <w:t>Bundesstrafgericht, 2017-10-26, DE</w:t>
      </w:r>
    </w:p>
    <w:p>
      <w:r>
        <w:rPr>
          <w:b/>
        </w:rPr>
        <w:t xml:space="preserve">Quelle: </w:t>
      </w:r>
      <w:r>
        <w:t>https://mcp.opencaselaw.ch/entscheid/bstger_BV.2017.43</w:t>
      </w:r>
    </w:p>
    <w:p>
      <w:r>
        <w:t>FR: TPF BV.2017.43 du 26 octobre 2017</w:t>
      </w:r>
    </w:p>
    <w:p>
      <w:r>
        <w:t>IT: TPF BV.2017.43 del 26 ottobre 2017</w:t>
      </w:r>
    </w:p>
    <w:p>
      <w:pPr>
        <w:pStyle w:val="Heading2"/>
      </w:pPr>
      <w:r>
        <w:t>Regeste</w:t>
      </w:r>
    </w:p>
    <w:p>
      <w:r>
        <w:t>Beschlagnahme (Art. 46 f. VStrR). 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 2011 keine Mitarbeiter mehr beschäftige, die Mehrwertsteuer- grenze nicht mehr erreiche und seine Kündigung der Mehrwehrwertsteuer- pflicht rückwirkend auf den 1. Januar 2011 ausweiten wolle (act. 1);</w:t>
      </w:r>
    </w:p>
    <w:p>
      <w:r>
        <w:t>- die Beschwerdeschrift vom 13. Oktober 2017 keine Ausführungen betreffend die beschlagnahmten Gegenstände und damit keine eigentliche Begründung i.S.v. Art. 28 Abs. 3 VStrR enthält;</w:t>
      </w:r>
    </w:p>
    <w:p>
      <w:r>
        <w:t>- 3 -</w:t>
      </w:r>
    </w:p>
    <w:p>
      <w:r>
        <w:t>- die Beschwerdeschrift daher – selbst unter Berücksichtigung des Umstan- des, dass es sich beim Beschwerdeführer nicht um eine anwaltlich vertretene Partei handelt – den Mindestanforderungen von Art. 28 Abs. 3 VStrR klarer- weise nicht genügt;</w:t>
      </w:r>
    </w:p>
    <w:p>
      <w:r>
        <w:t>- das VStrR für Beschwerden gegen Untersuchungshandlungen (Art. 26 ff. VStrR) keine Möglichkeit der Nachfristansetzung zur Verbesserung der Be- schwerde – anders als zum Beispiel bei der Einsprache gegen den Strafbe- scheid (Art. 64 ff. VStrR; v.a. Art. 68 Abs. 3 VStrR) – vorsieht (vgl. Beschlüsse des Bundesstrafgerichts BV.2015.8 vom 25. Juli 2015 und BV.2011.8 vom 8. April 2011);</w:t>
      </w:r>
    </w:p>
    <w:p>
      <w:r>
        <w:t>- auf die vorliegende Beschwerde daher ohne Durchführung eines Schriften- wechsels nicht einzutreten ist (vgl. Art. 82 VStrR i.V.m. Art. 390 Abs. 2 StPO e contrario);</w:t>
      </w:r>
    </w:p>
    <w:p>
      <w:r>
        <w:t>- der Antrag des Beschwerdeführers um unentgeltliche Rechtspflege zufolge Aussichtslosigkeit abzuweisen ist (vgl. Art. 29 Abs. 3 BV);</w:t>
      </w:r>
    </w:p>
    <w:p>
      <w:r>
        <w:t>- die Gerichtskosten bei diesem Ausgang des Verfahrens dem Beschwerde- führer aufzuerlegen sind (Art. 66 Abs. 1 BGG analog; TPF 2011 25 E. 3);</w:t>
      </w:r>
    </w:p>
    <w:p>
      <w:r>
        <w:t>- die Gerichtsgebühr vorliegend auf Fr. 200.-- festzusetzen ist (Art. 25 Abs. 4 VStrR i.V.m. Art. 73 StBOG und Art. 5 und 8 Abs. 1 des Reglements des Bundesstrafgerichts vom 31. August 2010 über die Kosten, Gebühren und Entschädigungen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