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BV.2017.36 vom 9. August 2017</w:t>
      </w:r>
    </w:p>
    <w:p>
      <w:r>
        <w:t>Bundesstrafgericht, 2017-08-09, DE</w:t>
      </w:r>
    </w:p>
    <w:p>
      <w:r>
        <w:rPr>
          <w:b/>
        </w:rPr>
        <w:t xml:space="preserve">Quelle: </w:t>
      </w:r>
      <w:r>
        <w:t>https://mcp.opencaselaw.ch/entscheid/bstger_BV.2017.36</w:t>
      </w:r>
    </w:p>
    <w:p>
      <w:r>
        <w:t>FR: TPF BV.2017.36 du 9 août 2017</w:t>
      </w:r>
    </w:p>
    <w:p>
      <w:r>
        <w:t>IT: TPF BV.2017.36 del 9 agosto 2017</w:t>
      </w:r>
    </w:p>
    <w:p>
      <w:pPr>
        <w:pStyle w:val="Heading2"/>
      </w:pPr>
      <w:r>
        <w:t>Regeste</w:t>
      </w:r>
    </w:p>
    <w:p>
      <w:r>
        <w:t>Grundbuchsperre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E. 3)</w:t>
      </w:r>
    </w:p>
    <w:p>
      <w:r>
        <w:t>- die Gerichtsgebühr für das vorliegende Verfahren auf das gesetzlich und reglementarisch vorgesehene Minimum von Fr. 200.– festzusetzen ist (Art. 25 Abs. 4 VStrR i.V.m. Art. 73 StBOG sowie Art. 5 und Art.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