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BV.2017.35 vom 20. Juli 2017</w:t>
      </w:r>
    </w:p>
    <w:p>
      <w:r>
        <w:t>Bundesstrafgericht, 2017-07-20, DE</w:t>
      </w:r>
    </w:p>
    <w:p>
      <w:r>
        <w:rPr>
          <w:b/>
        </w:rPr>
        <w:t xml:space="preserve">Quelle: </w:t>
      </w:r>
      <w:r>
        <w:t>https://mcp.opencaselaw.ch/entscheid/bstger_BV.2017.35</w:t>
      </w:r>
    </w:p>
    <w:p>
      <w:r>
        <w:t>FR: TPF BV.2017.35 du 20 juillet 2017</w:t>
      </w:r>
    </w:p>
    <w:p>
      <w:r>
        <w:t>IT: TPF BV.2017.35 del 20 luglio 2017</w:t>
      </w:r>
    </w:p>
    <w:p>
      <w:pPr>
        <w:pStyle w:val="Heading2"/>
      </w:pPr>
      <w:r>
        <w:t>Regeste</w:t>
      </w:r>
    </w:p>
    <w:p>
      <w:r>
        <w:t>Hausdurchsuchung (Art. 48 f. VStrR).</w:t>
      </w:r>
    </w:p>
    <w:p>
      <w:pPr>
        <w:pStyle w:val="Heading2"/>
      </w:pPr>
      <w:r>
        <w:t>Erwägungen</w:t>
      </w:r>
    </w:p>
    <w:p>
      <w:r>
        <w:rPr>
          <w:b/>
        </w:rPr>
        <w:t>E. 1</w:t>
      </w:r>
    </w:p>
    <w:p>
      <w:r>
        <w:t>Gemäss Art. 103 Abs. 1 MWSTG ist auf die Strafverfolgung mit Ausnahme der Art. 63 Abs. 1 und Abs. 2, Art. 69 Abs. 2, Art. 73 Abs. 1 letzter Satz sowie Art. 77 Abs. 4 das VStrR anwendbar. Die Strafverfolgung obliegt bei der In- landsteuer und bei der Bezugsteuer der ESTV (Art. 103 Abs. 2 MWSTG).</w:t>
      </w:r>
    </w:p>
    <w:p>
      <w:r>
        <w:t>Soweit das VStrR einzelne Fragen nicht abschliessend regelt, sind die Best- immungen der StPO grundsätzlich analog anwendbar (BGE 139 IV 246 E. 1.2; vgl. auch TPF 2016 55 E. 2.3).</w:t>
      </w:r>
    </w:p>
    <w:p>
      <w:r>
        <w:rPr>
          <w:b/>
        </w:rPr>
        <w:t>E. 2.1</w:t>
      </w:r>
    </w:p>
    <w:p>
      <w:r>
        <w:t>Gegen Zwangsmassnahmen im Sinne der Art. 45 ff. VStrR und damit zu- sammenhängende Amtshandlungen und Säumnis kann bei der Beschwer- dekammer des Bundesstrafgerichts Beschwerde geführt werden (Art. 26 Abs. 1 VStrR i.V.m. Art. 37 Abs. 2 lit. b StBOG).</w:t>
      </w:r>
    </w:p>
    <w:p>
      <w:r>
        <w:t>- 5 -</w:t>
      </w:r>
    </w:p>
    <w:p>
      <w:r>
        <w:rPr>
          <w:b/>
        </w:rPr>
        <w:t>E. 2.2</w:t>
      </w:r>
    </w:p>
    <w:p>
      <w:r>
        <w:t>Zur Beschwerde ist berechtigt, wer durch die angefochtene Amtshandlung berührt ist und ein schutzwürdiges Interesse an deren Aufhebung oder Än- derung hat (Art. 28 Abs. 1 VStrR).</w:t>
      </w:r>
    </w:p>
    <w:p>
      <w:r>
        <w:t>Das zur Beschwerdeführung berechtigende Rechtsschutzinteresse im Sinne von Art. 28 Abs. 1 VStrR muss grundsätzlich ein aktuelles und praktisches sein (BGE 118 IV 67 E. 1c; Beschluss des Bundesstrafgerichts BV.2014.14 vom 16. Juni 2014, E. 1.3 und E. 1.4). Soweit sich die vorliegende Be- schwerde gegen die Hausdurchsuchung und deren Modalitäten richtet, ist festzuhalten, dass Letztere bereits abgeschlossen ist, weshalb es an einem aktuellen und praktischen Interesse fehlt. Eine ausnahmsweise Überprüfung der Hausdurchsuchung in dieser Phase drängt sich vorliegend nicht auf, da die von der Rechtsprechung entwickelten Voraussetzungen offensichtlich nicht erfüllt sind und selbst vom Beschwerdeführer nicht geltend gemacht werden (vgl. BGE 118 IV 67 E. 1d; TPF 2004 34 E. 2.2). Die diesbezügliche Rechtsweggarantie ist zudem gewahrt, da der Beschwerdeführer die vorlie- gend zur Diskussion stehende Hausdurchsuchung betreffend die Siegelung verlangte, worauf die Beschwerdegegnerin sämtliche sichergestellten Ge- genstände versiegelte und ein Entsiegelungsgesuch bei diesem Gericht stellte (vgl. vorn lit. D, lit. G, lit. H). Die Rechtmässigkeit der Hausdurchsu- chung wird im Siegelungsverfahren zu prüfen sein (vgl. Beschluss des Bun- desstrafgerichts BV.2014.14 vom 16. Juni 2014, E. 1.3 m.w.H.; vgl. auch Beschluss des Bundesstrafgerichts BV.2015.22 vom 10. Mai 2016, E. 2.3).</w:t>
      </w:r>
    </w:p>
    <w:p>
      <w:r>
        <w:t>Soweit sich die vorliegende Beschwerde gegen die Hausdurchsuchung und deren Modalitäten richtet, ist auf sie mangels aktuellen praktischen Interes- ses nicht einzutreten.</w:t>
      </w:r>
    </w:p>
    <w:p>
      <w:r>
        <w:rPr>
          <w:b/>
        </w:rPr>
        <w:t>E. 3</w:t>
      </w:r>
    </w:p>
    <w:p>
      <w:r>
        <w:t>Soweit der Beschwerdeführer verlangt, es seien Polizeieinsätze anzuordnen und an der Hausdurchsuchung beteiligte Personen seien straf- und zivil- rechtlich ins Recht zu fassen sowie abzusetzen, ist darauf mangels Zustän- digkeit nicht einzutreten.</w:t>
      </w:r>
    </w:p>
    <w:p>
      <w:r>
        <w:rPr>
          <w:b/>
        </w:rPr>
        <w:t>E. 4</w:t>
      </w:r>
    </w:p>
    <w:p>
      <w:r>
        <w:t>Die Gerichtskosten sind bei diesem Ausgang des Verfahrens dem Be- schwerdeführer aufzuerlegen (Art. 66 Abs. 1 BGG analog; vgl. TPF 2011 25 E. 3). Die Gerichtsgebühr ist auf Fr. 500.– festzusetzen (Art. 25 Abs. 4 VStrR i.V.m. Art. 73 StBOG und Art. 5 sowie Art. 8 Abs. 1 des Reglements des Bundesstrafgerichts vom 31. August 2010 über die Kosten, Gebühren und Entschädigungen in Bundesstrafverfahren [BStKR; SR 173.713.162]).</w:t>
      </w:r>
    </w:p>
    <w:p>
      <w:r>
        <w:t>- 6 -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