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BV.2017.23 vom 18. Juli 2017</w:t>
      </w:r>
    </w:p>
    <w:p>
      <w:r>
        <w:t>Bundesstrafgericht, 2017-07-18, FR</w:t>
      </w:r>
    </w:p>
    <w:p>
      <w:r>
        <w:rPr>
          <w:b/>
        </w:rPr>
        <w:t xml:space="preserve">Quelle: </w:t>
      </w:r>
      <w:r>
        <w:t>https://mcp.opencaselaw.ch/entscheid/bstger_BV.2017.23</w:t>
      </w:r>
    </w:p>
    <w:p>
      <w:r>
        <w:t>FR: TPF BV.2017.23 du 18 juillet 2017</w:t>
      </w:r>
    </w:p>
    <w:p>
      <w:r>
        <w:t>IT: TPF BV.2017.23 del 18 luglio 2017</w:t>
      </w:r>
    </w:p>
    <w:p>
      <w:pPr>
        <w:pStyle w:val="Heading2"/>
      </w:pPr>
      <w:r>
        <w:t>Regeste</w:t>
      </w:r>
    </w:p>
    <w:p>
      <w:r>
        <w:t>Omissions (déni de justice) (art. 27 al. 1 et 3 DPA).</w:t>
      </w:r>
    </w:p>
    <w:p>
      <w:pPr>
        <w:pStyle w:val="Heading2"/>
      </w:pPr>
      <w:r>
        <w:t>Erwägungen</w:t>
      </w:r>
    </w:p>
    <w:p>
      <w:r>
        <w:rPr>
          <w:b/>
        </w:rPr>
        <w:t>E. 1.1</w:t>
      </w:r>
    </w:p>
    <w:p>
      <w:r>
        <w:t>En application de l'art. 27 DPA, les actes et omissions du fonctionnaire enquêteur peuvent, s'il ne s'agit pas de mesures de contrainte au sens des art. 45 ss DPA, faire l'objet d'une plainte adressée au directeur ou chef de l'administration (art. 27 al. 1 DPA). La décision de ce dernier peut faire ensuite l'objet d'une plainte à la Cour des plaintes du Tribunal pénal fédéral, pour violation du droit fédéral, y compris l'excès ou l'abus du pouvoir d'appréciation (art. 27 al. 3 DPA en lien avec l'art. 25 al. 1 DPA, l'art. 37 al. 2 let. b de la loi fédérale sur l'organisation des autorités pénales de la Confédération [LOAP; RS 173.71]).</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prévu à l'art. 28 al. 1 DPA doit être actuel et pratique (ATF 118 IV 67 consid. 1; 103 IV 115 consid. 1a; arrêt du Tribunal fédéral 2C_77/2007 du 2 avril 2009, consid. 3; décision du Tribunal pénal fédéral BV.2010.16 - BV.2010.45 du 1er octobre 2010, consid. 1.3). Au regard de la jurisprudence fédérale, dans l'hypothèse où l'autorité intimée a</w:t>
      </w:r>
    </w:p>
    <w:p>
      <w:r>
        <w:t>- 4 -</w:t>
      </w:r>
    </w:p>
    <w:p>
      <w:r>
        <w:t>rendu sa décision dans l'intervalle, le plaignant ne saurait se voir reconnaître un intérêt à la constatation du déni de justice formel, ce dernier fût-il réalisé (arrêt du Tribunal fédéral 8C_681/2008 du 20 mars 2009, consid. 3.2). La plainte visant un acte d'enquête ou une décision rendue sur plainte doit être déposée par écrit auprès de l'autorité compétente, avec des conclusions et un bref exposé des motifs (art. 28 al. 3 DPA). La plainte pour déni de justice peut être déposée en tout temps (art. 396 al. 2 CPP applicable par renvoi de l'art. 31 al. 2 DPA; TPF 2011 163, consid. 1.3).</w:t>
      </w:r>
    </w:p>
    <w:p>
      <w:r>
        <w:rPr>
          <w:b/>
        </w:rPr>
        <w:t>E. 1.3</w:t>
      </w:r>
    </w:p>
    <w:p>
      <w:r>
        <w:t>En l’espèce, le plaignant demande à ce qu’il soit constaté un déni de justice de la part du Directeur de l’AFC. L’AFC n’ayant pas formellement examiné sa plainte à ce jour (elle a confirmé la décision de l’enquêteur dans le cadre de sa réponse du 9 mai 2017, laquelle ne saurait constituer une décision susceptible d’être attaquée en justice), le plaignant garde un intérêt digne de protection à ce que la présente cause soit examinée (arrêt du Tribunal fédéral 8C_681/2008 précité, consid. 3.2).</w:t>
      </w:r>
    </w:p>
    <w:p>
      <w:r>
        <w:rPr>
          <w:b/>
        </w:rPr>
        <w:t>E. 1.4</w:t>
      </w:r>
    </w:p>
    <w:p>
      <w:r>
        <w:t>La plainte pour déni de justice étant recevable, il y a lieu d’entrer en matière.</w:t>
      </w:r>
    </w:p>
    <w:p>
      <w:r>
        <w:rPr>
          <w:b/>
        </w:rPr>
        <w:t>E. 2</w:t>
      </w:r>
    </w:p>
    <w:p>
      <w:r>
        <w:t>Il y a déni de justice formel, prohibé par l'art. 29 al. 1 Cst., notamment lorsqu'une autorité, pourtant régulièrement saisie, tarde sans raison à statuer. Une autorité, administrative ou judiciaire, viole dès lors cette disposition si elle ne rend pas la décision qu'il lui incombe de prendre dans le délai prescrit par la loi ou dans un délai que la nature et l'importance de l'affaire, ainsi que toutes les autres circonstances, font apparaître comme raisonnable (ATF 119 Ib 311 consid. 5b; 117 Ia 193 consid. 1c).</w:t>
      </w:r>
    </w:p>
    <w:p>
      <w:r>
        <w:rPr>
          <w:b/>
        </w:rPr>
        <w:t>E. 2.1</w:t>
      </w:r>
    </w:p>
    <w:p>
      <w:r>
        <w:t>In casu, l’on ne saurait justifier un tel retard de la part de l’AFC pour traiter la plainte de A. datant du 2 février 2017 et ce compte tenu de l’ensemble des circonstances du cas d’espèce. En effet, la demande de suspension y contenue ne présentait pas de difficultés particulières. Dans sa réponse, l’AFC fait uniquement valoir que le traitement d’une plainte fondée sur l’art. 27 DPA n’est soumis à aucun délai (act. 5, p. 4), argument qui ne saurait lui tenir de secours. La Cour de céans ne peut que constater que, par son silence, le Directeur de l’AFC a commis un déni de justice formel.</w:t>
      </w:r>
    </w:p>
    <w:p>
      <w:r>
        <w:rPr>
          <w:b/>
        </w:rPr>
        <w:t>E. 2.2</w:t>
      </w:r>
    </w:p>
    <w:p>
      <w:r>
        <w:t>Sur ce vu, la plainte pour déni de justice est admise. Le Directeur de l’AFC est invité à traiter la plainte en question sans délai.</w:t>
      </w:r>
    </w:p>
    <w:p>
      <w:r>
        <w:rPr>
          <w:b/>
        </w:rPr>
        <w:t>E. 3</w:t>
      </w:r>
    </w:p>
    <w:p>
      <w:r>
        <w:t>Compte tenu de l'issue de la plainte pour déni de justice, les frais relatifs seront pris en charge par la caisse de l'Etat (art. 66 al. 1 de la loi fédérale sur</w:t>
      </w:r>
    </w:p>
    <w:p>
      <w:r>
        <w:t>- 5 -</w:t>
      </w:r>
    </w:p>
    <w:p>
      <w:r>
        <w:t>le Tribunal fédéral [LTF; RS 173.110] applicable par analogie, v. TPF 2011 25), la présente procédure trouvant son origine dans l'omission de statuer de l’AFC. Par ailleurs, les avances de frais déjà versées seront restituées au plaignant.</w:t>
      </w:r>
    </w:p>
    <w:p>
      <w:r>
        <w:rPr>
          <w:b/>
        </w:rPr>
        <w:t>E. 4</w:t>
      </w:r>
    </w:p>
    <w:p>
      <w:r>
        <w:t>La partie qui obtient gain de cause a droit à une indemnité pour les dépenses occasionnées par l'exercice raisonnable de ses droits de procédure (art. 10 ss du règlement du Tribunal pénal fédéral sur les frais, émoluments, dépens et indemnités de la procédure pénale fédéral [RFPPF; RS 173.713.162] applicables par renvoi de l'art. 25 al. 4 DPA cum art. 73 LOAP). Selon l'art. 12 RFPPF, les honoraires sont fixés en fonction du temps effectivement consacré à la cause et nécessaire à la défense de la partie représentée. Lorsque l'avocat ne fait pas parvenir le décompte de ses prestations, le montant des honoraires est fixé selon l'appréciation de la cour. En l'espèce, le plaignant ayant obtenu gain de cause s'agissant de la plainte pour déni de justice, une indemnité de CHF 1'000.--, paraît justifiée.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