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BV.2017.21 vom 3. Juli 2017</w:t>
      </w:r>
    </w:p>
    <w:p>
      <w:r>
        <w:t>Bundesstrafgericht, 2017-07-03, DE</w:t>
      </w:r>
    </w:p>
    <w:p>
      <w:r>
        <w:rPr>
          <w:b/>
        </w:rPr>
        <w:t xml:space="preserve">Quelle: </w:t>
      </w:r>
      <w:r>
        <w:t>https://mcp.opencaselaw.ch/entscheid/bstger_BV.2017.21</w:t>
      </w:r>
    </w:p>
    <w:p>
      <w:r>
        <w:t>FR: TPF BV.2017.21 du 3 juillet 2017</w:t>
      </w:r>
    </w:p>
    <w:p>
      <w:r>
        <w:t>IT: TPF BV.2017.21 del 3 luglio 2017</w:t>
      </w:r>
    </w:p>
    <w:p>
      <w:pPr>
        <w:pStyle w:val="Heading2"/>
      </w:pPr>
      <w:r>
        <w:t>Regeste</w:t>
      </w:r>
    </w:p>
    <w:p>
      <w:r>
        <w:t>Hausdurchsuchung (Art. 48 f. VStrR).</w:t>
      </w:r>
    </w:p>
    <w:p>
      <w:pPr>
        <w:pStyle w:val="Heading2"/>
      </w:pPr>
      <w:r>
        <w:t>Erwägungen</w:t>
      </w:r>
    </w:p>
    <w:p>
      <w:r>
        <w:rPr>
          <w:b/>
        </w:rPr>
        <w:t>E. 1.1</w:t>
      </w:r>
    </w:p>
    <w:p>
      <w:r>
        <w:t>Widerhandlungen gegen das Zollgesetz werden nach diesem und nach dem VStrR verfolgt und beurteilt. Verfolgende und urteilende Behörde ist die Be- schwerdegegnerin (Art. 128 ZG).</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w:t>
      </w:r>
    </w:p>
    <w:p>
      <w:r>
        <w:t>- 5 -</w:t>
      </w:r>
    </w:p>
    <w:p>
      <w:r>
        <w:t>deren Aufhebung oder Änderung hat (Art. 28 Abs. 1 VStrR). Mit der Be- schwerde kann die Verletzung von Bundesrecht, die unrichtige oder unvoll- ständige Feststellung des Sachverhalts oder die Unangemessenheit gerügt werden (Art. 28 Abs. 2 VStrR). Die Beschwerde ist innert drei Tagen, nach- dem der Beschwerdeführer von der Amtshandlung Kenntnis hat, bei der zu- ständigen Behörde schriftlich mit Antrag und kurzer Begründung einzu- reichen (Art. 28 Abs. 3 VStrR).</w:t>
      </w:r>
    </w:p>
    <w:p>
      <w:r>
        <w:rPr>
          <w:b/>
        </w:rPr>
        <w:t>E. 2.1</w:t>
      </w:r>
    </w:p>
    <w:p>
      <w:r>
        <w:t>In erster Linie richtet sich die Beschwerde gegen den Durchsuchungsbefehl vom 7. März 2017 (act. 1.2) und die darauf gestützte Hausdurchsuchung bei der Beschwerdeführerin vom selben Tag (vgl. act. 1.3).</w:t>
      </w:r>
    </w:p>
    <w:p>
      <w:r>
        <w:rPr>
          <w:b/>
        </w:rPr>
        <w:t>E. 2.2</w:t>
      </w:r>
    </w:p>
    <w:p>
      <w:r>
        <w:t>Das zur Beschwerdeführung berechtigende Rechtsschutzinteresse im Sinne von Art. 28 Abs. 1 VStrR muss grundsätzlich ein aktuelles und praktisches sein (BGE 118 IV 67 E. 1c; Beschlüsse des Bundesstrafgerichts BV.2016.21 vom 12. Dezember 2016, E. 1.2; BV.2015.22 vom 10. Mai 2016, E. 2.3). Soweit sich die vorliegende Beschwerde gegen die Hausdurchsuchung als solche richtet, ist festzuhalten, dass Letztere bereits abgeschlossen ist, wes- halb es an einem aktuellen und praktischen Interesse an der Aufhebung oder Änderung der Anordnung der Hausdurchsuchung fehlt. Eine ausnahms- weise Überprüfung der Hausdurchsuchung drängt sich vorliegend nicht auf, da die mit der Beschwerde gerügten Mängel der angefochtenen Zwangs- massnahme nicht von grundsätzlicher Bedeutung sind und da kein hinrei- chendes öffentliches Interesse an deren Beurteilung besteht (BGE 118 IV 67 E. 1d; TPF 2004 34 E. 2.2). Namentlich stösst die Kritik der Beschwerdefüh- rerin ins Leere, die Beschwerdegegnerin habe in unzulässiger Weise eine strafprozessuale Hausdurchsuchung angeordnet, nur um eine verwaltungs- rechtliche Zwangsmassnahme vorzunehmen (act. 4, Rz. 9 ff.). Gemäss Art. 48 Abs. 1 VStrR dürfen Räumlichkeiten u. a. dann durchsucht werden, wenn es wahrscheinlich ist, dass sich Gegenstände oder Vermögenswerte darin befinden, die der Beschlagnahme unterliegen. Die Beschlagnahme zur Sicherung gesetzlicher Pfandrechte ist in allgemeiner Weise auch in Art. 46 Abs. 2 VStrR vorgesehen, womit klar wird, dass im Rahmen einer laufenden Zollstrafuntersuchung eine Hausdurchsuchung nach Art. 48 f. VStrR auch zwecks Vornahme einer Beschlagnahme gestützt auf Art. 83 Abs. 1 ZG an- geordnet werden kann. Das Vorgehen der Beschwerdegegnerin ist insofern nicht zu beanstanden.</w:t>
      </w:r>
    </w:p>
    <w:p>
      <w:r>
        <w:t>- 6 -</w:t>
      </w:r>
    </w:p>
    <w:p>
      <w:r>
        <w:rPr>
          <w:b/>
        </w:rPr>
        <w:t>E. 3.1</w:t>
      </w:r>
    </w:p>
    <w:p>
      <w:r>
        <w:t>Mit ihrem zweiten Beschwerdeantrag verlangt die Beschwerdeführerin die Aufhebung der anlässlich erwähnter Hausdurchsuchung erfolgten Beschlag- nahmen von Kunstwerken als Zollpfänder und deren Rückgabe an die Be- schwerdeführerin (act. 1, S. 2). Die Beschwerdegegnerin bringt hierzu vor, auf diesen Antrag könne nicht eingetreten werden (act. 2, Ziff. II.1).</w:t>
      </w:r>
    </w:p>
    <w:p>
      <w:r>
        <w:rPr>
          <w:b/>
        </w:rPr>
        <w:t>E. 3.2</w:t>
      </w:r>
    </w:p>
    <w:p>
      <w:r>
        <w:t>Aufgrund der Akten ergibt sich, dass die anlässlich der Hausdurchsuchung vom 7. März 2017 bei der Beschwerdeführerin erfolgten Beschlagnahmen primär gestützt auf Art. 83 Abs. 1 ZG zur Geltendmachung des Zollpfand- rechts erfolgten (Verfahrensakten, act. 89 und 90). Diese zollrechtliche Be- schlagnahme ist von der strafprozessualen Beschlagnahme gemäss Art. 46 f. VStrR zu unterscheiden (vgl. zur Abgrenzung CADOSCH, Stämpflis Hand- kommentar, Bern 2009, Art. 83 ZG N. 4). Während Letztere gestützt auf Art. 26 Abs. 1 VStrR mit Beschwerde bei der Beschwerdekammer des Bun- desstrafgerichts angefochten werden kann, dient die zollrechtliche Beschlag- nahme primär der Sicherstellung der Zollforderung (Art. 212 Abs. 1 ZV; Urteil des Bundesgerichts 2C_415/2013 vom 2. Februar 2014, E. 6.1) und unter- liegt der Beschwerde nach Art. 116 ZG (Botschaft vom 15. Dezember 2003 über ein neues Zollgesetz, BBl 2004 S. 651). Zuständig zur Beurteilung einer solchen Beschwerde ist im vorliegenden Fall die Oberzolldirektion (vgl. Art. 116 Abs. 1bis ZG). Die den vorliegenden Beschlagnahmeprotokollen bei- gegebene Rechtsmittelbelehrung entspricht diesen Ausführungen und ist – das Zollpfand betreffend – korrekt. Soweit sich die Beschwerde gegen die erfolgte Beschlagnahme von Kunstgegenständen als Zollpfand richtet, ist auf sie nicht einzutreten.</w:t>
      </w:r>
    </w:p>
    <w:p>
      <w:r>
        <w:rPr>
          <w:b/>
        </w:rPr>
        <w:t>E. 3.3</w:t>
      </w:r>
    </w:p>
    <w:p>
      <w:r>
        <w:t>Gemäss Art. 212 Abs. 2 ZV dient das Zollpfand aber auch als Mittel zur Be- weissicherung in einem Straf- oder Verwaltungsstrafverfahren. Tatsächlich hat die Beschwerdegegnerin durch entsprechende Kennzeichnung auf den vorliegenden Beschlagnahmeprotokollen zu verstehen gegeben, dass die beschlagnahmten Gegenstände «ausserdem ein Beweismittel im Sinne von Art. 212 Abs. 2 ZV» bilden (Verfahrensakten, act. 89 und 90). In der Sache erging somit nebst der zollrechtlichen Beschlagnahme auch eine Beweismit- telbeschlagnahme im Sinne von Art. 46 Abs. 1 lit. a VStrR, gegen welche die Beschwerde nach Art. 26 Abs. 1 VStrR offen steht. Eine diesbezügliche Rechtsmittelbelehrung kann den Beschlagnahmeprotokollen jedoch nicht entnommen werden (vgl. Verfahrensakten, act. 89 und 90). Ausser dem er- wähnten Hinweis kann der angefochtenen Beschlagnahmeverfügung auch nicht entnommen werden, welchen Bezug die einzelnen beschlagnahmten Kunstwerke zu welchem Strafverfahren aufweisen und inwiefern sie damit</w:t>
      </w:r>
    </w:p>
    <w:p>
      <w:r>
        <w:t>- 7 -</w:t>
      </w:r>
    </w:p>
    <w:p>
      <w:r>
        <w:t>als Beweismittel in Frage kommen könnten. So können beispielsweise ledig- lich die dreizehn bereits vor dem 7. März 2017 als Zollpfand beschlagnahm- ten Kunstwerke mit dem Verdacht der Zollpfandunterschlagung in Verbin- dung gebracht werden. Beschlagnahmt wurden am 7. März 2017 aber we- sentlich mehr als dreizehn Kunstgegenstände. Wie und weshalb diese Be- weismittel bilden, ist aufgrund der Akten nicht ohne Weiteres erkennbar. Auch im Beschwerdeverfahren hat die Beschwerdegegnerin keine Begrün- dung bzw. Spezifikation für die erfolgte Beweismittelbeschlagnahme nach- geliefert. Dieses Vorgehen verletzt den Anspruch der Beschwerdeführerin auf rechtliches Gehör (vgl. hierzu zuletzt u. a. den Beschluss des Bun- desstrafgerichts BV.2016.17 vom 13. Dezember 2016, E. 3.2 m.w.H.). Dies- bezüglich ist die Beschwerde gutzuheissen. Die Beschwerdegegnerin ist an- zuweisen, eine begründete Verfügung zu erlassen, welche hinreichend deut- lich macht, welche der betroffenen Kunstgegenstände warum als Beweismit- tel in welchem Verwaltungsstrafverfahren beschlagnahmt werden sollen.</w:t>
      </w:r>
    </w:p>
    <w:p>
      <w:r>
        <w:rPr>
          <w:b/>
        </w:rPr>
        <w:t>E. 4.1</w:t>
      </w:r>
    </w:p>
    <w:p>
      <w:r>
        <w:t>Die Beschwerdeführerin unterliegt mit ihren Beschwerdeanträgen zum über- wiegenden Teil. Daher ist ihr dem Ausgang des Verfahrens entsprechend eine leicht reduzierte Gerichtsgebühr aufzuerlegen (Art. 66 Abs. 1 BGG ana- log; vgl. hierzu TPF 2011 25 E. 3). Diese ist auf Fr. 1‘500.– festzusetzen (Art. 25 Abs. 4 VStrR i.V.m. Art. 73 StBOG und Art. 5 und 8 Abs. 1 des Reg- lements des Bundesstrafgerichts vom 31. August 2010 über die Kosten, Ge- bühren und Entschädigungen in Bundesstrafverfahren [BStKR; SR 173.713.162]).</w:t>
      </w:r>
    </w:p>
    <w:p>
      <w:r>
        <w:rPr>
          <w:b/>
        </w:rPr>
        <w:t>E. 4.2</w:t>
      </w:r>
    </w:p>
    <w:p>
      <w:r>
        <w:t>Die Beschwerdegegnerin hat der Beschwerdeführerin für einen Teil ihrer Aufwendungen für das vorliegende Beschwerdeverfahren eine Parteient- schädigung zu entrichten. Diese ist ermessensweise festzusetzen auf Fr. 500.– (inkl. Auslagen und MwSt.; Art. 25 Abs. 4 VStrR i.V.m. Art. 68 Abs. 1 BGG analog und Art. 12 Abs. 2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