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BV.2017.11 vom 18. Dezember 2017</w:t>
      </w:r>
    </w:p>
    <w:p>
      <w:r>
        <w:t>Bundesstrafgericht, 2017-12-18, DE</w:t>
      </w:r>
    </w:p>
    <w:p>
      <w:r>
        <w:rPr>
          <w:b/>
        </w:rPr>
        <w:t xml:space="preserve">Quelle: </w:t>
      </w:r>
      <w:r>
        <w:t>https://mcp.opencaselaw.ch/entscheid/bstger_BV.2017.11</w:t>
      </w:r>
    </w:p>
    <w:p>
      <w:r>
        <w:t>FR: TPF BV.2017.11 du 18 décembre 2017</w:t>
      </w:r>
    </w:p>
    <w:p>
      <w:r>
        <w:t>IT: TPF BV.2017.11 del 18 dicembre 2017</w:t>
      </w:r>
    </w:p>
    <w:p>
      <w:pPr>
        <w:pStyle w:val="Heading2"/>
      </w:pPr>
      <w:r>
        <w:t>Regeste</w:t>
      </w:r>
    </w:p>
    <w:p>
      <w:r>
        <w:t>Kostenerkenntnis (Art. 96 Abs. 1 VStrR).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Januar 2017 nicht eingetreten ist und die Beschwerdekammer des Bun- desstrafgerichts mit Beschluss vom 14. Dezember 2017 die Beschwerde der Beschwerdeführerin betreffend Revision des Strafbescheids vom 9. Novem- ber 2017 abgewiesen hat, mithin die Strafverfügung vom 16. Januar 2017 einem rechtskräftigen Urteil gleichsteht (vgl. Art. 72 Abs. 3 VStrR);</w:t>
      </w:r>
    </w:p>
    <w:p>
      <w:r>
        <w:t>- 4 -</w:t>
      </w:r>
    </w:p>
    <w:p>
      <w:r>
        <w:t>- der Beschwerdeweg vorliegend bei dieser Ausgangslage nur gegen den Kostenpunkt gemäss Ziff. 4 des Dispositivs der angefochtenen Verfügung offen steht (vgl. BGE 111 IV 188; siehe auch den Beschluss des Bun- desstrafgerichts BV.2013.5 vom 2. Mai 2013);</w:t>
      </w:r>
    </w:p>
    <w:p>
      <w:r>
        <w:t>- die Beschwerdeführerin im Rahmen ihrer Beschwerde ausführt, weshalb die Busse herabzusetzen sei, sich jedoch nicht dazu äussert, inwiefern und wes- halb die ihr gegenüber verfügte Kostenauflage gegen Bundesrecht verstosse;</w:t>
      </w:r>
    </w:p>
    <w:p>
      <w:r>
        <w:t>- es der Beschwerde mithin an der erforderlichen kurzen Begründung nach Art. 28 Abs. 3 VStrR mangelt;</w:t>
      </w:r>
    </w:p>
    <w:p>
      <w:r>
        <w:t>- auf die Beschwerde daher nicht einzutreten ist;</w:t>
      </w:r>
    </w:p>
    <w:p>
      <w:r>
        <w:t>- die Kostenauflage auch materiell ohnehin nicht zu beanstanden wäre und den gesetzlichen Vorgaben entspricht (Art. 6a ff. der Verordnung über Kosten und Entschädigungen im Verwaltungsstrafverfahren; SR 313.32);</w:t>
      </w:r>
    </w:p>
    <w:p>
      <w:r>
        <w:t>- die Beschwerdeführerin bei diesem Ausgang des Verfahrens als unterlie- gende Partei die Kosten des Beschwerdeverfahrens zu tragen hat (Art. 66 Abs. 1 BGG analog);</w:t>
      </w:r>
    </w:p>
    <w:p>
      <w:r>
        <w:t>- dieses auf das reglementarische Minimum von Fr. 200.-- festzusetzen sind (Art. 5 und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