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BV.2016.25 vom 12. Januar 2017</w:t>
      </w:r>
    </w:p>
    <w:p>
      <w:r>
        <w:t>Bundesstrafgericht, 2017-01-12, IT</w:t>
      </w:r>
    </w:p>
    <w:p>
      <w:r>
        <w:rPr>
          <w:b/>
        </w:rPr>
        <w:t xml:space="preserve">Quelle: </w:t>
      </w:r>
      <w:r>
        <w:t>https://mcp.opencaselaw.ch/entscheid/bstger_BV.2016.25</w:t>
      </w:r>
    </w:p>
    <w:p>
      <w:r>
        <w:t>FR: TPF BV.2016.25 du 12 janvier 2017</w:t>
      </w:r>
    </w:p>
    <w:p>
      <w:r>
        <w:t>IT: TPF BV.2016.25 del 12 gennaio 2017</w:t>
      </w:r>
    </w:p>
    <w:p>
      <w:pPr>
        <w:pStyle w:val="Heading2"/>
      </w:pPr>
      <w:r>
        <w:t>Regeste</w:t>
      </w:r>
    </w:p>
    <w:p>
      <w:r>
        <w:t>Sequestro (art. 46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Preso atto del ritiro del reclamo, la causa è stralciata dal ruolo.</w:t>
      </w:r>
    </w:p>
    <w:p>
      <w:r>
        <w:rPr>
          <w:b/>
        </w:rPr>
        <w:t>E. 2</w:t>
      </w:r>
    </w:p>
    <w:p>
      <w:r>
        <w:t>La domanda di effetto sospensivo è divenuta priva d’oggetto.</w:t>
      </w:r>
    </w:p>
    <w:p>
      <w:r>
        <w:rPr>
          <w:b/>
        </w:rPr>
        <w:t>E. 3</w:t>
      </w:r>
    </w:p>
    <w:p>
      <w:r>
        <w:t>La tassa di giustizia di fr. 1'000.-- è posta a carico del reclamante. Essa è coperta dall'anticipo delle spese già versato di fr. 2'000.--. La Cassa del Tribu- nale penale federale restituirà al reclamante il saldo di fr. 1’000.--.</w:t>
      </w:r>
    </w:p>
    <w:p>
      <w:r>
        <w:t>Bellinzona, 12 gennaio 2017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Tania Naef - Amministrazione federale delle contribuzioni</w:t>
      </w:r>
    </w:p>
    <w:p>
      <w:r>
        <w:t>Informazione sui rimedi giuridici Le decisioni della Corte dei reclami penali concernenti misure coercitive sono impugnabili entro 30 giorni dalla notifica mediante ricorso al Tribunale federale (artt. 79 e 100 cpv. 1 della legge federale del 17 giugno 2005 sul Tribunale federale; LTF). La procedura è retta dagli art. 90 e segg.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