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BV.2016.16 vom 5. Juli 2016</w:t>
      </w:r>
    </w:p>
    <w:p>
      <w:r>
        <w:t>Bundesstrafgericht, 2016-07-05, DE</w:t>
      </w:r>
    </w:p>
    <w:p>
      <w:r>
        <w:rPr>
          <w:b/>
        </w:rPr>
        <w:t xml:space="preserve">Quelle: </w:t>
      </w:r>
      <w:r>
        <w:t>https://mcp.opencaselaw.ch/entscheid/bstger_BV.2016.16</w:t>
      </w:r>
    </w:p>
    <w:p>
      <w:r>
        <w:t>FR: TPF BV.2016.16 du 5 juillet 2016</w:t>
      </w:r>
    </w:p>
    <w:p>
      <w:r>
        <w:t>IT: TPF BV.2016.16 del 5 luglio 2016</w:t>
      </w:r>
    </w:p>
    <w:p>
      <w:pPr>
        <w:pStyle w:val="Heading2"/>
      </w:pPr>
      <w:r>
        <w:t>Regeste</w:t>
      </w:r>
    </w:p>
    <w:p>
      <w:r>
        <w:t>Beschlagnahme (Art. 46 f. VStrR).</w:t>
      </w:r>
    </w:p>
    <w:p>
      <w:pPr>
        <w:pStyle w:val="Heading2"/>
      </w:pPr>
      <w:r>
        <w:t>Erwägungen</w:t>
      </w:r>
    </w:p>
    <w:p>
      <w:r>
        <w:rPr>
          <w:b/>
        </w:rPr>
        <w:t>E. 25</w:t>
      </w:r>
    </w:p>
    <w:p>
      <w:r>
        <w:t>E. 3);</w:t>
      </w:r>
    </w:p>
    <w:p>
      <w:r>
        <w:t>- die Gerichtsgebühr für das vorliegende Verfahren auf das gesetzlich und reglementarisch vorgesehene Minimum von Fr. 200.– festzusetzen ist (Art. 25 Abs. 4 VStrR i.V.m. Art. 73 StBOG und Art. 5 und 8 Abs. 1 des Reg- lements des Bundesstrafgerichts vom 31. August 2010 über die Kosten, Ge- bühren und Entschädigungen in Bundesstrafverfahren [BStKR; SR 173.713.162]);</w:t>
      </w:r>
    </w:p>
    <w:p>
      <w:r>
        <w:t>- 4 -</w:t>
      </w:r>
    </w:p>
    <w:p>
      <w:r>
        <w:t>und erkennt: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