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BV.2016.14 vom 9. August 2016</w:t>
      </w:r>
    </w:p>
    <w:p>
      <w:r>
        <w:t>Bundesstrafgericht, 2016-08-09, DE</w:t>
      </w:r>
    </w:p>
    <w:p>
      <w:r>
        <w:rPr>
          <w:b/>
        </w:rPr>
        <w:t xml:space="preserve">Quelle: </w:t>
      </w:r>
      <w:r>
        <w:t>https://mcp.opencaselaw.ch/entscheid/bstger_BV.2016.14</w:t>
      </w:r>
    </w:p>
    <w:p>
      <w:r>
        <w:t>FR: TPF BV.2016.14 du 9 août 2016</w:t>
      </w:r>
    </w:p>
    <w:p>
      <w:r>
        <w:t>IT: TPF BV.2016.14 del 9 agosto 2016</w:t>
      </w:r>
    </w:p>
    <w:p>
      <w:pPr>
        <w:pStyle w:val="Heading2"/>
      </w:pPr>
      <w:r>
        <w:t>Regeste</w:t>
      </w:r>
    </w:p>
    <w:p>
      <w:r>
        <w:t>Amtshandlung (Art. 27 Abs. 1 und 3 VStrR).</w:t>
      </w:r>
    </w:p>
    <w:p>
      <w:pPr>
        <w:pStyle w:val="Heading2"/>
      </w:pPr>
      <w:r>
        <w:t>Erwägungen</w:t>
      </w:r>
    </w:p>
    <w:p>
      <w:r>
        <w:rPr>
          <w:b/>
        </w:rPr>
        <w:t>E. 1.1</w:t>
      </w:r>
    </w:p>
    <w:p>
      <w:r>
        <w:t>Gemäss Art. 57 Abs. 1 SBG gelangt bei der Verfolgung von Widerhand- lungen gegen das SBG das Bundesgesetz vom 22. März 1974 über das Ver- waltungsstrafrecht (VStrR; SR 313.0) zur Anwendung. Verfolgende Behörde ist dabei das Sekretariat der ESBK.</w:t>
      </w:r>
    </w:p>
    <w:p>
      <w:r>
        <w:rPr>
          <w:b/>
        </w:rPr>
        <w:t>E. 1.2</w:t>
      </w:r>
    </w:p>
    <w:p>
      <w:r>
        <w:t>Soweit nicht die Beschwerde nach Art. 26 VStrR (Beschwerde gegen Zwangsmassnahmen) gegeben ist, kann gemäss Art. 27 VStrR gegen Amts- handlungen und gegen Säumnis des untersuchenden Beamten beim Direk- tor oder Chef der beteiligten Verwaltung Beschwerde geführt werden. Der Beschwerdeentscheid (des Direktors oder Chefs) ist dem Beschwerdeführer schriftlich mitzuteilen und hat eine Rechtsmittelbelehrung zu enthalten. Ge- gen den Beschwerdeentscheid kann bei der Beschwerdekammer des Bun- desstrafgerichts Beschwerde geführt werden (Art. 27 VStrR). Zur Beschwer- de berechtigt ist, wer durch die angefochtene Amtshandlung, die gerügte Säumnis oder den Beschwerdeentscheid berührt ist und ein schutzwürdiges Interesse an der Aufhebung oder Änderung hat (Art. 28 Abs. 1 VStrR).</w:t>
      </w:r>
    </w:p>
    <w:p>
      <w:r>
        <w:rPr>
          <w:b/>
        </w:rPr>
        <w:t>E. 1.3</w:t>
      </w:r>
    </w:p>
    <w:p>
      <w:r>
        <w:t>Während mit der Beschwerde gegen Zwangsmassnahmen auch die unrich- tige oder unvollständige Feststellung des Sachverhalts und die Unangemes- senheit gerügt werden kann (Art. 28 Abs. 2 VStrR), ist die Beschwerde gegen Beschwerdeentscheide nach Art. 27 VStrR nur wegen Verletzung von Bun- desrecht, einschliesslich Überschreitung oder Missbrauch des Ermessens zulässig (Art. 27 Abs. 3 VStrR).</w:t>
      </w:r>
    </w:p>
    <w:p>
      <w:r>
        <w:rPr>
          <w:b/>
        </w:rPr>
        <w:t>E. 1.4</w:t>
      </w:r>
    </w:p>
    <w:p>
      <w:r>
        <w:t>Die Beschwerdeführer sind zur Beschwerde gegen den Entscheid mit wel- chem RA C. untersagt wurde, sie weiterhin im Strafverfahren Nr. 1 zu vertre- ten, legitimiert (vgl. BGE 138 II 162 Regeste). Die übrigen Eintretensvoraus- setzungen geben zu keinen Bemerkungen Anlass. Auf die Beschwerde ist einzutreten.</w:t>
      </w:r>
    </w:p>
    <w:p>
      <w:r>
        <w:rPr>
          <w:b/>
        </w:rPr>
        <w:t>E. 2</w:t>
      </w:r>
    </w:p>
    <w:p>
      <w:r>
        <w:t>Aufl., Basel 2014, Art. 127 StPO N. 11 f.; a.M. LIEBER, a.a.O., Art. 127 N. 14a). Mithin zielt die Rüge der Beschwerdeführer, wonach die Beschwer- degegnerin in jedem Fall nicht befugt sei, RA C. auszuschliessen, ins Leere.</w:t>
      </w:r>
    </w:p>
    <w:p>
      <w:r>
        <w:rPr>
          <w:b/>
        </w:rPr>
        <w:t>E. 2.1</w:t>
      </w:r>
    </w:p>
    <w:p>
      <w:r>
        <w:t>Mit dem angefochtenen Beschwerdeentscheid bestätigte die Beschwerde- gegnerin die Verfügung vom 18. März 2016, wonach RA C. als Verteidiger</w:t>
      </w:r>
    </w:p>
    <w:p>
      <w:r>
        <w:t>- 4 -</w:t>
      </w:r>
    </w:p>
    <w:p>
      <w:r>
        <w:t>von A. und B. im Verwaltungsstrafverfahren Nr. 1 aufgrund eines angebli- chen Interessenskonflikts ausgeschlossen wurde.</w:t>
      </w:r>
    </w:p>
    <w:p>
      <w:r>
        <w:t>Wie die nachfolgenden Erwägungen zeigen werden, hat die Beschwerde- gegnerin im Rahmen des angefochtenen Entscheids den Anspruch auf rechtliches Gehör der Beschwerdeführer verletzt.</w:t>
      </w:r>
    </w:p>
    <w:p>
      <w:r>
        <w:rPr>
          <w:b/>
        </w:rPr>
        <w:t>E. 2.2</w:t>
      </w:r>
    </w:p>
    <w:p>
      <w:r>
        <w:t>Das VStrR kennt keine allgemeine Regelung zur Begründungspflicht von Verfügungen bzw. Beschwerdeentscheiden i.S.v. Art. 27 Abs. 1 VStrR, wes- wegen sich die Begründungspflicht betreffend die angefochtene Verfügung aus Art. 29 Abs. 2 BV ergibt (vgl. Beschluss des Bundesstrafgerichts BV.2014.27 vom 18. September 2014, E. 3.2; EICKER/FRANK/ ACHERMANN, Verwaltungsstrafrecht und Verwaltungsstrafverfahrensrecht, Bern 2012, S. 191).</w:t>
      </w:r>
    </w:p>
    <w:p>
      <w:r>
        <w:t>Gemäss Art. 29 Abs. 2 BV haben die Parteien Anspruch auf rechtliches Ge- hör. Aus dem Grundsatz des rechtlichen Gehörs leitet das Bundesgericht in ständiger Rechtsprechung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 gen seinem Antrag entschieden hat. Die Begründung eines Entscheids muss deshalb so abgefasst sein, dass der Betroffene ihn gegebenenfalls sachge- recht anfechten kann. Dies ist nur möglich, wenn sowohl er wie auch die Rechtsmittelinstanz sich über die Tragweite des Entscheids ein Bild machen können. In diesem Sinne müssen wenigstens kurz die Überlegungen ge- nannt werden, von denen sich die Behörde leiten liess und auf welche sich ihr Entscheid stützt (BGE 129 I 232 E. 3.2 m.w.H.).</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 fragen uneingeschränkt überprüft (BGE 135 I 279 E. 2.6.1 S. 285 mit Hinweisen).</w:t>
      </w:r>
    </w:p>
    <w:p>
      <w:r>
        <w:rPr>
          <w:b/>
        </w:rPr>
        <w:t>E. 2.3</w:t>
      </w:r>
    </w:p>
    <w:p>
      <w:r>
        <w:t>Der Beschuldigte kann in jeder Lage des Verfahrens einen Verteidiger bestellen (vgl. Art. 32 Abs. 1 VStrR, Art. 32 Abs. 2 BV, Art. 6 Ziff. 3 lit. c</w:t>
      </w:r>
    </w:p>
    <w:p>
      <w:r>
        <w:t>- 5 -</w:t>
      </w:r>
    </w:p>
    <w:p>
      <w:r>
        <w:t>EMRK sowie Art. 14 Abs. 3 UNO-Pakt II). Das Recht auf freie Verteidiger- wahl ist aber nicht unbeschränkt. Vorbehalten bleiben die strafprozessualen und berufsrechtlichen Vorschriften und Zulassungsvoraussetzungen (Urteil des Bundesgerichts 1B_7/2009 vom 16. März 2009, E. 5, nicht publ. in: BGE 135 I 261).</w:t>
      </w:r>
    </w:p>
    <w:p>
      <w:r>
        <w:rPr>
          <w:b/>
        </w:rPr>
        <w:t>E. 2.4</w:t>
      </w:r>
    </w:p>
    <w:p>
      <w:r>
        <w:t>Bei Mehrfach-Verteidigungsmandaten desselben Rechtsvertreters für ver- schiedene Mitbeschuldigte besteht nach der Rechtsprechung des Bundes- gerichts grundsätzlich ein Interessenkonflikt, der gestützt auf das Anwalts- berufs- und Strafprozessrecht einen Verfahrensausschluss eines erbetenen privaten Verteidigers durch die Verfahrensleitung rechtfertigen kann. Von be- sonderen Ausnahmefällen abgesehen dürfen Anwältinnen und Anwälte kei- 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Interessenkonflikten in jedem Verfahrensstadium vorausschauend Rechnung zu tragen. Eine Mehrfach- verteidigung von verschiedenen Mitbeschuldigten könnte allenfalls (im Inte- resse der Verfahrenseffizienz) ausnahmsweise erlaubt sein, sofern die Mit- beschuldigten durchwegs identische und widerspruchsfreie Sachverhalts- darstellungen geben und ihre Prozessinteressen nach den konkreten Um- ständen nicht divergieren (BGE 141 IV 257 E. 2.1; Urteile des Bundes- gerichts 1B_613/2012 vom 29. Januar 2012, E. 2.1; 6B_1073/2010 vom 21. Juni 2011, E. 1.2.2; 1B_7/2009 vom 16. März 2009, E. 5.5 und E. 5.8 mit Hinweisen, nicht publ. in: BGE 135 I 261).</w:t>
      </w:r>
    </w:p>
    <w:p>
      <w:r>
        <w:rPr>
          <w:b/>
        </w:rPr>
        <w:t>E. 2.5</w:t>
      </w:r>
    </w:p>
    <w:p>
      <w:r>
        <w:t>Da bei Mehrfachverteidigungen latente Interessenkollisionen anfänglich oft nicht erkennbar sind, weil sie sich erst im Verlaufe des Strafverfahrens he- rausbilden können (vgl. Urteil des Bundesgerichts 1B_7/2009 vom 16. März 2009, E. 5.8), ist eine Mehrfachverteidigung bereits verboten, falls die theo- retische Möglichkeit einer Verwirklichung eines Interessenkonflikts im Laufe des Verfahrens besteht (Entscheid des Bundesstrafgerichts BB.2010.106 vom 14. Februar 2011, E. 4.2 mit Bezugnahme auf Urteil des Bundesgerichts 1B_7/2009 vom 16. März 2009, E. 5.5, TPF 2009 69 E. 2.2 sowie TPF 2007 38 E. 3).</w:t>
      </w:r>
    </w:p>
    <w:p>
      <w:r>
        <w:t>Wird eine – auch nur theoretische – Möglichkeit einer Interessenskollision festgestellt, so ist der Verteidiger aus dem Strafverfahren auszuschliessen. Damit ist es ihm nach der für das Gericht massgeblichen Praxis des Bundes- gerichts auch nicht mehr erlaubt, sich auf die Verteidigung eines Beschuldig- ten zu beschränken (BGE 141 IV 257, E. 2.2 in fine; Urteile des Bundesge- richts 1B_7/2009 vom 16. März 2009, E. 5.7; 1P.227/2005 vom 13. Mai 2005,</w:t>
      </w:r>
    </w:p>
    <w:p>
      <w:r>
        <w:t>- 6 -</w:t>
      </w:r>
    </w:p>
    <w:p>
      <w:r>
        <w:t>E. 3.1; 1.223/2002 vom 18. März 2003, E. 5.2; Beschluss des Bundesstrafge- richts BB.2010.98 vom 27. Dezember 2010, E. 4.1 ; vgl. auch BOHNET, Les conflits d’intérêts en matière de défense au pénal – TF 1B_7/2009 du 16 mars 2009, in Anwaltsrevue 5/2009, S. 265 ff.).</w:t>
      </w:r>
    </w:p>
    <w:p>
      <w:r>
        <w:rPr>
          <w:b/>
        </w:rPr>
        <w:t>E. 2.6</w:t>
      </w:r>
    </w:p>
    <w:p>
      <w:r>
        <w:t>In seiner Eingabe an die ESBK vom 28. Dezember 2015 führte RA C. aus, dass in casu kein potenzieller Interessenskonflikt bestehe. Die Beschwerde- führer würden sich nicht kennen. Zudem ginge es nur um rechtliche Fragen. Der Sachverhalt sei erstellt (act. 1.3). In der Verfügung vom 18. März 2016 wird diesbezüglich – ohne jedoch auf den konkreten Sachverhaltskomplex einzugehen – festgehalten, dass nicht von identischer und widerspruchs- freier Sachverhaltsdarstellung gesprochen werden kann. Insbesondere da B. im Rahmen seiner Einvernahme vom 13. Oktober 2009 teilweise von sei- nem Aussageverweigerungsrecht Gebrauch gemacht habe. Aus diesem Grund könnten zukünftige Widersprüche nicht ausgeschlossen werden (act. 6.3, S. 2). In der dagegen erhobenen Beschwerde rügen die Beschwer- deführer, dass auf ihre Argumentation, es ginge nur noch um rechtliche Fra- gen, weswegen kein Interessenskonflikt vorliege, nicht eingegangen worden sei (act. 6.4). Im angefochtenen Entscheid begründet die Beschwerdegegne- rin den Ausschluss von RA C. damit, dass er zwei Mitbeschuldigte im glei- chen Strafverfahren vertrete. Betreffend den obgenannten Einwand der Be- schwerdeführer hält sie Folgendes fest (act. 6.5, S. 4): „Der Beschwerdefüh- rer verkennt, dass die Frage, welche Strafnorm anwendbar ist, nichts damit zu tun hat, ob bei einer Mehrfachvertretung ein Interessenskonflikt besteht oder nicht“.</w:t>
      </w:r>
    </w:p>
    <w:p>
      <w:r>
        <w:t>Aus dem Gesagten ergibt sich, dass aus der Begründung des angefochte- nen Entscheids nicht hervorgeht, ob die Beschwerdegegnerin den obge- nannten Einwand der Beschwerdeführer sorgfältig und ernsthaft geprüft hat. In der Begründung fehlt jedenfalls die Analyse, ob – in Bezug auf den konkre- ten Sachverhalt – ein Ausnahmefall im Sinne der zitierten Rechtsprechung vorliegt. Somit war es den Beschwerdeführern auch nicht möglich, den Ent- scheid sachgerecht anzufechten.</w:t>
      </w:r>
    </w:p>
    <w:p>
      <w:r>
        <w:t>Aus dem Dargelegten geht hervor, dass der Anspruch auf rechtliches Gehör der Beschwerdeführer verletzt wurde. Eine Heilung ist aufgrund der be- schränkten Kognition des hiesigen Gerichts im vorliegenden Verfahren (sie- he supra E. 1.3) ausgeschlossen. Mithin ist der angefochtene Entscheid auf- zuheben und zur neuen Entscheidung an den Direktor der ESBK zurückzu- wiesen.</w:t>
      </w:r>
    </w:p>
    <w:p>
      <w:r>
        <w:t>- 7 -</w:t>
      </w:r>
    </w:p>
    <w:p>
      <w:r>
        <w:rPr>
          <w:b/>
        </w:rPr>
        <w:t>E. 2.7</w:t>
      </w:r>
    </w:p>
    <w:p>
      <w:r>
        <w:t>Der von den Beschwerdeführern gestellte Antrag auf Erteilung der aufschie- benden Wirkung wird mit dem Entscheid in der Hauptsache gegenstandslos. Er ist als erledigt abzuschreiben.</w:t>
      </w:r>
    </w:p>
    <w:p>
      <w:r>
        <w:rPr>
          <w:b/>
        </w:rPr>
        <w:t>E. 2.8</w:t>
      </w:r>
    </w:p>
    <w:p>
      <w:r>
        <w:t>Ergänzend gilt es noch Folgendes festzuhalten:</w:t>
      </w:r>
    </w:p>
    <w:p>
      <w:r>
        <w:rPr>
          <w:b/>
        </w:rPr>
        <w:t>E. 2.8.1</w:t>
      </w:r>
    </w:p>
    <w:p>
      <w:r>
        <w:t>Weder die StPO noch das VStrR enthalten eine explizite Grundlage für den formellen Verfahrensausschluss einer Wahlverteidigung durch die Verfah- rensleitung (betreffend die StPO vgl. LIEBER, in: Donatsch/Hansjakob/Lieber [Hrsg.], Kommentar StPO, 2. Aufl., Zürich/Basel/Genf 2014, Art. 127 N. 14a). Nichtsdestotrotz kann gemäss bundesgerichtlicher Rechtsprechung die ver- fahrensleitende Behörde aufgrund einer Interessenskollision jederzeit und von Amtes wegen einen erbetenen Verteidiger aus dem Verfahren aus- schliessen (siehe supra E. 2.3; so auch RUCKSTUHL, Basler Kommentar,</w:t>
      </w:r>
    </w:p>
    <w:p>
      <w:r>
        <w:rPr>
          <w:b/>
        </w:rPr>
        <w:t>E. 2.8.2</w:t>
      </w:r>
    </w:p>
    <w:p>
      <w:r>
        <w:t>Wie dargelegt, wird die Beschwerdegegnerin zu beurteilen haben, ob in casu eine Mehrfachverteidigung von A. und B. möglich ist, mithin ein Ausnahme- fall i.S. der Rechtsprechung vorliegt. Dabei gilt es die konkreten Umstände des Falles zu würdigen. Sollte sie zum Schluss gelangen, dass kein Ausnah- mefall vorliegt, so wird im oben wiedergegebenen Sinne zu verfahren sein.</w:t>
      </w:r>
    </w:p>
    <w:p>
      <w:r>
        <w:rPr>
          <w:b/>
        </w:rPr>
        <w:t>E. 3.1</w:t>
      </w:r>
    </w:p>
    <w:p>
      <w:r>
        <w:t>Bei diesem Ausgang des Verfahrens sind keine Gerichtsgebühren zu erhe- ben (Art. 25 Abs. 4 VStrR i.V.m. Art. 66 Abs. 4 BGG analog [vgl. TPF 2011 25 E. 3]). Der von den Beschwerdeführern geleistete Kostenvorschuss in der Höhe von Fr. 2'000.-- ist diesen vollumfänglich zurückzuerstatten.</w:t>
      </w:r>
    </w:p>
    <w:p>
      <w:r>
        <w:rPr>
          <w:b/>
        </w:rPr>
        <w:t>E. 3.2</w:t>
      </w:r>
    </w:p>
    <w:p>
      <w:r>
        <w:t>Die Beschwerdegegnerin hat den Beschwerdeführern für ihre Aufwen- dungen im vorliegenden Verfahren eine Parteientschädigung zu entrichten. Da RA C. keine Kostennote einreichte, ist diese pauschal auf Fr. 1'500.-- festzusetzen (Art. 73 StBOG und Art. 5 und 8 Abs. 1 des Reglements des Bundesstrafgerichts vom 31. August 2010 über die Kosten, Gebühren und Entschädigungen in Bundesstrafverfahren [BStKR; SR 173.713.162] i.V.m. Art. 25 Abs. 4 VStrR i.V.m. Art. 68 Abs. 1 und 2 BGG analog [vgl. TPF 2011 25 E. 3]).</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