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BV.2016.12 vom 13. Juli 2016</w:t>
      </w:r>
    </w:p>
    <w:p>
      <w:r>
        <w:t>Bundesstrafgericht, 2016-07-13, DE</w:t>
      </w:r>
    </w:p>
    <w:p>
      <w:r>
        <w:rPr>
          <w:b/>
        </w:rPr>
        <w:t xml:space="preserve">Quelle: </w:t>
      </w:r>
      <w:r>
        <w:t>https://mcp.opencaselaw.ch/entscheid/bstger_BV.2016.12</w:t>
      </w:r>
    </w:p>
    <w:p>
      <w:r>
        <w:t>FR: TPF BV.2016.12 du 13 juillet 2016</w:t>
      </w:r>
    </w:p>
    <w:p>
      <w:r>
        <w:t>IT: TPF BV.2016.12 del 13 luglio 2016</w:t>
      </w:r>
    </w:p>
    <w:p>
      <w:pPr>
        <w:pStyle w:val="Heading2"/>
      </w:pPr>
      <w:r>
        <w:t>Regeste</w:t>
      </w:r>
    </w:p>
    <w:p>
      <w:r>
        <w:t>Amtshandlung (Art. 27 Abs. 1 und 3 VStrR).</w:t>
      </w:r>
    </w:p>
    <w:p>
      <w:pPr>
        <w:pStyle w:val="Heading2"/>
      </w:pPr>
      <w:r>
        <w:t>Erwägungen</w:t>
      </w:r>
    </w:p>
    <w:p>
      <w:r>
        <w:rPr>
          <w:b/>
        </w:rPr>
        <w:t>E. 1.1</w:t>
      </w:r>
    </w:p>
    <w:p>
      <w:r>
        <w:t>Gemäss Art. 57 Abs. 1 SBG gelangt bei der Verfolgung von Widerhand- lungen gegen das SBG das Bundesgesetz vom 22. März 1974 über das Ver- waltungsstrafrecht (VStrR; SR 313.0) zur Anwendung. Verfolgende Behörde ist dabei das Sekretariat der ESBK.</w:t>
      </w:r>
    </w:p>
    <w:p>
      <w:r>
        <w:rPr>
          <w:b/>
        </w:rPr>
        <w:t>E. 1.2</w:t>
      </w:r>
    </w:p>
    <w:p>
      <w:r>
        <w:t>Soweit nicht die Beschwerde nach Art. 26 VStrR (Beschwerde gegen Zwangsmassnahmen) gegeben ist, kann gemäss Art. 27 VStrR gegen Amts- handlungen und gegen Säumnis des untersuchenden Beamten beim Direk- tor oder Chef der beteiligten Verwaltung Beschwerde geführt werden. Der Beschwerdeentscheid (des Direktors oder Chefs) ist dem Beschwerdeführer schriftlich mitzuteilen und hat eine Rechtsmittelbelehrung zu enthalten. Ge- gen den Beschwerdeentscheid kann bei der Beschwerdekammer des Bun- desstrafgerichts Beschwerde geführt werden (Art. 27 VStrR). Zur Beschwer- de berechtigt ist, wer durch die angefochtene Amtshandlung, die gerügte Säumnis oder den Beschwerdeentscheid berührt ist und ein schutzwürdiges Interesse an der Aufhebung oder Änderung hat (Art. 28 Abs. 1 VStrR).</w:t>
      </w:r>
    </w:p>
    <w:p>
      <w:r>
        <w:rPr>
          <w:b/>
        </w:rPr>
        <w:t>E. 1.3</w:t>
      </w:r>
    </w:p>
    <w:p>
      <w:r>
        <w:t>Während mit der Beschwerde gegen Zwangsmassnahmen auch die unrich- tige oder unvollständige Feststellung des Sachverhalts und die Unange- messenheit gerügt werden kann (Art. 28 Abs. 2 VStrR), ist die Beschwerde gegen gestützt auf Art. 27 VStrR ergangene Beschwerdeentscheide nur we- gen Verletzung von Bundesrecht, einschliesslich Überschreitung oder Miss- brauch des Ermessens zulässig (Art. 27 Abs. 3 VStrR).</w:t>
      </w:r>
    </w:p>
    <w:p>
      <w:r>
        <w:rPr>
          <w:b/>
        </w:rPr>
        <w:t>E. 1.4</w:t>
      </w:r>
    </w:p>
    <w:p>
      <w:r>
        <w:t>Beide Beschwerdeführer sind zur Beschwerde legitimiert (vgl. BGE 138 II 162 Regeste und E. 2.2). Die übrigen Eintretensvoraus- setzungen geben zu keinen Bemerkungen Anlass. Auf die Beschwerde ist einzutreten.</w:t>
      </w:r>
    </w:p>
    <w:p>
      <w:r>
        <w:rPr>
          <w:b/>
        </w:rPr>
        <w:t>E. 2.1</w:t>
      </w:r>
    </w:p>
    <w:p>
      <w:r>
        <w:t>Der Beschuldigte kann in jeder Lage des Verfahrens einen Verteidiger bestellen (vgl. Art. 32 Abs. 1 VStrR, Art. 32 Abs. 2 BV, Art. 6 Ziff. 3 lit. c EMRK sowie Art. 14 Abs. 3 UNO-Pakt II). Das Recht auf freie Verteidiger- wahl ist aber nicht unbeschränkt. Vorbehalten bleiben die strafprozessualen und berufsrechtlichen Vorschriften und Zulassungsvoraussetzungen (Urteil des Bundesgerichts 1B_7/2009 vom 16. März 2009, E. 5, nicht publ. in: BGE 135 I 261).</w:t>
      </w:r>
    </w:p>
    <w:p>
      <w:r>
        <w:t>- 4 -</w:t>
      </w:r>
    </w:p>
    <w:p>
      <w:r>
        <w:rPr>
          <w:b/>
        </w:rPr>
        <w:t>E. 2.2</w:t>
      </w:r>
    </w:p>
    <w:p>
      <w:r>
        <w:t>Bei Mehrfach-Verteidigungsmandaten desselben Rechtsvertreters für ver- schiedene Mitbeschuldigte besteht nach der Rechtsprechung des Bundes- gerichts grundsätzlich ein Interessenkonflikt, der gestützt auf das Anwalts- berufs- und Strafprozessrecht einen Verfahrensausschluss eines erbetenen privaten Verteidigers durch die Verfahrensleitung rechtfertigen kann. Von be- sonderen Ausnahmefällen abgesehen dürfen Anwältinnen und Anwälte kei- 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Interessen-konflikten in jedem Verfahrensstadium vorausschauend Rechnung zu tragen. Eine Mehrfach- verteidigung von verschiedenen Mitbeschuldigten könnte allenfalls (im Inte- resse der Verfahrenseffizienz) ausnahmsweise erlaubt sein, sofern die Mit- beschuldigten durchwegs identische und widerspruchsfreie Sachverhalts- darstellungen geben und ihre Prozessinteressen nach den konkreten Um- ständen nicht divergieren (BGE 141 IV 257 E. 2.1; Urteile des Bundesge- richts 1B_613/2012 vom 29. Januar 2012, E. 2.1; 6B_1073/2010 vom 21. Ju- ni 2011, E. 1.2.2; 1B_7/2009 vom 16. März 2009, E. 5.5 und E. 5.8 mit Hinweisen, nicht publ. in: BGE 135 I 261).</w:t>
      </w:r>
    </w:p>
    <w:p>
      <w:r>
        <w:rPr>
          <w:b/>
        </w:rPr>
        <w:t>E. 2.3</w:t>
      </w:r>
    </w:p>
    <w:p>
      <w:r>
        <w:t>Da bei Mehrfachverteidigungen latente Interessenkollisionen anfänglich oft nicht erkennbar sind, weil sie sich erst im Verlaufe des Strafverfahrens he- rausbilden können (vgl. Urteil des Bundesgerichts 1B_7/2009 vom 16. März 2009, E. 5.8), ist eine Mehrfachverteidigung bereits verboten, falls die theo- retische Möglichkeit einer Verwirklichung eines Interessenkonflikts im Laufe des Verfahrens besteht (Entscheid des Bundesstrafgerichts BB.2010.106 vom 14. Februar 2011, E. 4.2 mit Bezugnahme auf Urteil des Bundesgerichts 1B_7/2009 vom 16. März 2009, E. 5.5, TPF 2009 69 E. 2.2 sowie TPF 2007 38 E. 3).</w:t>
      </w:r>
    </w:p>
    <w:p>
      <w:r>
        <w:t>Wird eine – auch nur theoretische – Möglichkeit einer Interessenskollision festgestellt, so ist der Verteidiger aus dem Strafverfahren auszuschliessen. Damit ist es ihm nach der für das Gericht massgeblichen Praxis des Bundes- gerichts auch nicht mehr erlaubt, sich auf die Verteidigung eines Beschuldig- ten zu beschränken (BGE 141 IV 257, E. 2.2 in fine; Urteil des Bundes- gerichts 1A.223/2002 vom 18. März 2003, E. 5.2).</w:t>
      </w:r>
    </w:p>
    <w:p>
      <w:r>
        <w:rPr>
          <w:b/>
        </w:rPr>
        <w:t>E. 2.4</w:t>
      </w:r>
    </w:p>
    <w:p>
      <w:r>
        <w:t>A. und C. sind Mitbeschuldigte im Verwaltungsstrafverfahren Nr. 62-2015- 026. Rechtsanwalt B. zeigte der Beschwerdegegnerin am 3. Juli 2015 an, dass er die Verteidigung der Obgenannten übernimmt. In der Folge forderte die Beschwerdegegnerin Rechtsanwalt B. auf, zu einem allfälligen Interes- senskonflikt Stellung zu nehmen. Mit Schreiben vom 10. August 2015 bzw.</w:t>
      </w:r>
    </w:p>
    <w:p>
      <w:r>
        <w:t>- 5 -</w:t>
      </w:r>
    </w:p>
    <w:p>
      <w:r>
        <w:t>21. August 2015 teilte Rechtsanwalt B. der Beschwerdegegnerin mit, dass eine virtuelle Interessenkollision möglich sei und er deswegen nur noch A. verteidigen werde. Im Einklang mit der Rechtsprechung, wonach bei Annah- me einer potentiellen Interessenkollision sich der Verteidiger, der zuvor bei- de Mandate angenommen und geführt hat, auch nicht auf die Verteidigung eines Beschuldigten beschränken kann, schloss die Beschwerdegegnerin Rechtsanwalt B. aus dem Verfahren aus. Es trifft zweifelsohne zu, dass Rechtsanwalt B. die Beschuldigten nur für sehr kurze Zeit gleichzeitig vertei- digte – gemäss eigenen Angaben sei er in dieser Zeit auch ferienhalber ab- wesend gewesen (act. 1) – und der Ausschluss entsprechend hart erscheint. Nichtdestotrotz hat sich die Beschwerdekammer an die oben wiederge- gebene bundesgerichtliche Rechtsprechung zu halten.</w:t>
      </w:r>
    </w:p>
    <w:p>
      <w:r>
        <w:t>Der vorliegende Fall zeigt, dass es für einen Verteidiger vor der Übernahme einer Mehrfachverteidigung unumgänglich ist, die Akten genau auf die Mög- lichkeit einer potentiellen Interessenskollision hin zu prüfen und u.U. – vor der Übernahme des Mandats – Rücksprache mit der Strafverfolgungsbehör- de zu nehmen.</w:t>
      </w:r>
    </w:p>
    <w:p>
      <w:r>
        <w:rPr>
          <w:b/>
        </w:rPr>
        <w:t>E. 2.5</w:t>
      </w:r>
    </w:p>
    <w:p>
      <w:r>
        <w:t>Nach dem Gesagten ist die Beschwerde abzuweisen.</w:t>
      </w:r>
    </w:p>
    <w:p>
      <w:r>
        <w:rPr>
          <w:b/>
        </w:rPr>
        <w:t>E. 3</w:t>
      </w:r>
    </w:p>
    <w:p>
      <w:r>
        <w:t>Bei diesem Ausgang des Verfahrens haben die Beschwerdeführer die Ge- richtskosten zu tragen (Art. 66 Abs. 1 BGG analog; vgl. TPF 2011 25 E. 3). Die Gerichtsgebühr wird festgesetzt auf Fr. 2‘000.--, unter Anrechnung des geleisteten Kostenvorschuss in gleicher Höhe (vgl. act. 8; Art. 25 Abs. 4 VStrR i.V.m. Art. 73 StBOG und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