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BV.2015.24 vom 10. Mai 2016</w:t>
      </w:r>
    </w:p>
    <w:p>
      <w:r>
        <w:t>Bundesstrafgericht, 2016-05-10, DE</w:t>
      </w:r>
    </w:p>
    <w:p>
      <w:r>
        <w:rPr>
          <w:b/>
        </w:rPr>
        <w:t xml:space="preserve">Quelle: </w:t>
      </w:r>
      <w:r>
        <w:t>https://mcp.opencaselaw.ch/entscheid/bstger_BV.2015.24</w:t>
      </w:r>
    </w:p>
    <w:p>
      <w:r>
        <w:t>FR: TPF BV.2015.24 du 10 mai 2016</w:t>
      </w:r>
    </w:p>
    <w:p>
      <w:r>
        <w:t>IT: TPF BV.2015.24 del 10 maggio 2016</w:t>
      </w:r>
    </w:p>
    <w:p>
      <w:pPr>
        <w:pStyle w:val="Heading2"/>
      </w:pPr>
      <w:r>
        <w:t>Regeste</w:t>
      </w:r>
    </w:p>
    <w:p>
      <w:r>
        <w:t>Beschlagnahme (Art. 46 f. VStrR).</w:t>
      </w:r>
    </w:p>
    <w:p>
      <w:pPr>
        <w:pStyle w:val="Heading2"/>
      </w:pPr>
      <w:r>
        <w:t>Erwägungen</w:t>
      </w:r>
    </w:p>
    <w:p>
      <w:r>
        <w:rPr>
          <w:b/>
        </w:rPr>
        <w:t>E. 1.1</w:t>
      </w:r>
    </w:p>
    <w:p>
      <w:r>
        <w:t>Für die Verfolgung und Beurteilung von Widerhandlungen gegen das Mehr- wertsteuergesetz ist grundsätzlich das VStrR anwendbar (Art. 103 Abs. 1 MWSTG; vgl. auch CAMENZIND/HONAUER/VALLENDER/JUNG/PROBST, Hand- buch zum Mehrwertsteuergesetz [MWSTG], 3. Aufl., Bern 2012, N. 2696). Bei der Inlandsteuer und bei der Bezugssteuer obliegt die Strafverfolgung hierbei der ESTV (Art. 103 Abs. 2 MWSTG).</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Sachverhalts oder die Unangemessenheit gerügt werden (Art. 28 Abs. 2 VStrR). Die Beschwerde ist innert drei Tagen, nach- dem der Beschwerdeführer von der Amtshandlung Kenntnis hat, bei der zu- ständigen Behörde schriftlich mit Antrag und kurzer Begründung einzu- reichen (Art. 28 Abs. 3 VStrR).</w:t>
      </w:r>
    </w:p>
    <w:p>
      <w:r>
        <w:t>- 4 -</w:t>
      </w:r>
    </w:p>
    <w:p>
      <w:r>
        <w:rPr>
          <w:b/>
        </w:rPr>
        <w:t>E. 1.3.1</w:t>
      </w:r>
    </w:p>
    <w:p>
      <w:r>
        <w:t>Die Parteien scheinen sich bezüglich des vorliegenden Anfechtungsobjekts offensichtlich im Unklaren zu befinden. So führt die Beschwerdegegnerin aus, die Vermögenswerte seien nicht beschlagnahmt, sondern sichergestellt worden. Eine derartige Sicherstellung könne nicht Gegenstand einer Be- schwerde bilden (act. 3, Ziff. I.4 mit Verweis auf den Beschluss des Bun- desstrafgerichts BV.2014.51 vom 18. November 2014). Die Beschwerdefüh- rer halten den Hinweis nicht für einschlägig und erachten die Vermögens- werte als beschlagnahmt (act. 9, S. 3 f.). Nichtsdestotrotz machen sie im Rahmen ihrer Beschwerdeschrift aber auch geltend, die anlässlich der Haus- durchsuchung festgestellten Barmittel seien in Verletzung von Art. 50 Abs. 3 VStrR nicht versiegelt worden (act. 1, Rz. 5.1). Die Beschwerdegegnerin ih- rerseits stellt sich wiederum die Frage, ob Bargeld unter das Siegelungsrecht gemäss Art. 50 Abs. 3 VStrR fällt bzw. fallen kann (act. 3, S. 2 f.).</w:t>
      </w:r>
    </w:p>
    <w:p>
      <w:r>
        <w:rPr>
          <w:b/>
        </w:rPr>
        <w:t>E. 1.3.2</w:t>
      </w:r>
    </w:p>
    <w:p>
      <w:r>
        <w:t>Die Durchsuchung von Räumlichkeiten dient der Auffindung der beschuldig- ten Person, von Gegenständen oder Vermögenswerten, die der Beschlag- nahme unterliegen, oder von Spuren der Widerhandlung (vgl. Art. 48 Abs. 1 VStrR). Von einer Durchsuchung von Papieren und Datenträgern (oder Auf- zeichnungen im Sinne des Art. 246 StPO) im Sinne von Art. 50 VStrR wird gesprochen, wenn Schriftstücke oder Datenträger im Hinblick auf ihren Inhalt oder ihre Beschaffenheit durchgelesen bzw. besichtigt werden, um ihre Be- weiseignung festzustellen und sie allenfalls mittels später erfolgender Be- schlagnahme zu den Akten zu nehmen (vgl. hierzu u. a. die Beschlüsse des Bundesstrafgerichts BE.2015.1 vom 17. November 2015, E. 3; BE.2014.13 vom 5. November 2014, E. 2; siehe auch BV.2014.51 vom 18. Novem- ber 2014, E. 2.2). Können die so durchsuchten Aufzeichnungen als Beweis- mittel von Bedeutung sein, so ergeht diesbezüglich eine sog. Beweismittel- beschlagnahme gestützt auf Art. 46 Abs. 1 lit. a VStrR. Demgegenüber sind Vermögenswerte in erster Linie mit Beschlag zu belegen, wenn sie voraus- sichtlich der Einziehung unterliegen (sog. Einziehungsbeschlagnahme, vgl. Art. 46 Abs. 1 lit. b VStrR). Die Beschlagnahme ist eine provisorische (kon- servatorische) prozessuale Massnahme zur vorläufigen Sicherung von Be- weismitteln bzw. zur vorläufigen Sicherstellung von allenfalls der Einziehung unterliegenden Vermögenswerten oder Gegenständen (siehe hierzu zuletzt u. a. den Beschluss des Bundesstrafgerichts BV.2014.47 vom 27. Novem- ber 2014, E. 3.1.1 m.w.H.).</w:t>
      </w:r>
    </w:p>
    <w:p>
      <w:r>
        <w:rPr>
          <w:b/>
        </w:rPr>
        <w:t>E. 1.3.3</w:t>
      </w:r>
    </w:p>
    <w:p>
      <w:r>
        <w:t>Im von der Beschwerdegegnerin angeführten Beschluss BV.2014.51 vom 18. November 2014 ging es nicht um Vermögenswerte, sondern um die Her- ausgabe von Unterlagen im Hinblick auf deren Durchsuchung. Erlangt die Strafbehörde vor der eigentlichen Durchsuchung die physische Kontrolle</w:t>
      </w:r>
    </w:p>
    <w:p>
      <w:r>
        <w:t>- 5 -</w:t>
      </w:r>
    </w:p>
    <w:p>
      <w:r>
        <w:t>über diese Unterlagen, so spricht man von einer Sicherstellung oder Ver- wahrung, gegen welche die Beschwerde grundsätzlich nicht offen steht (siehe u. a. den Beschluss des Bundesstrafgerichts BV.2013.21 vom 11. De- zember 2013, E. 2.2 m.w.H.). Die betroffene Person kann jedoch gegen die Durchsuchung (= Sichtung des Inhalts und der Beschaffenheit dieser Unter- lagen im Hinblick auf deren Beweiseignung) die Siegelung verlangen (Be- schluss des Bundesstrafgerichts BV.2014.51 vom 18. November 2014, E. 2.4). Im Falle von festgestellten Vermögenswerten, welche voraussicht- lich der Einziehung unterliegen, ist eine solche Differenzierung – wie die Be- schwerdegegnerin wahrscheinlich selbst erkannt hat (vgl. act. 3, S. 2 f.) – grundsätzlich nicht notwendig. Diese können umgehend beschlagnahmt werden. Anders läge der Fall wohl lediglich im Falle von handschriftlichen Aufzeichnungen auf Geldscheinen oder anderen ähnlichen Konstellationen. Nur dann würde auch die Siegelung von Bargeld allenfalls Sinn machen.</w:t>
      </w:r>
    </w:p>
    <w:p>
      <w:r>
        <w:rPr>
          <w:b/>
        </w:rPr>
        <w:t>E. 1.3.4</w:t>
      </w:r>
    </w:p>
    <w:p>
      <w:r>
        <w:t>Vorliegend wurde das fragliche Bargeld anlässlich der Hausdurchsuchung gestützt auf den Durchsuchungs- und Beschlagnahmebefehl physisch be- händigt und somit – im Hinblick auf eine spätere Einziehung – entgegen dem Wortlaut der diesbezüglichen «Sicherstellungsprotokolle» (act. 3.7) sofort beschlagnahmt. Wie dem Durchsuchungsprotokoll (act. 3.4, S. 3) entnom- men werden kann, wurde das Bargeld sofort einem Polizisten übergeben, damit es dieser auf ein Konto der Beschwerdegegnerin überweise. Somit wurde das Bargeld offensichtlich nicht als Beweismittel zu den Akten genom- men. Eine inhaltliche Prüfung des Bargelds zwecks Feststellung der Be- weiseignung und damit ein allfälliges Recht des Inhabers, zwecks Schonung von Privatgeheimnissen oder Wahrung von Geheimnissen im Sinne von Art 50 Abs. 2 VStrR die Siegelung zu verlangen, kam somit von Beginn weg ebenfalls nicht in Frage. Die von der Beschwerdegegnerin beabsichtigte vor- läufige provisorische Sicherstellung der Vermögenswerte (siehe act. 3, S. 3) erfolgt in der Form der Beschlagnahme, welche ihrerseits lediglich provisori- scher Natur ist (siehe oben E. 1.3.2).</w:t>
      </w:r>
    </w:p>
    <w:p>
      <w:r>
        <w:rPr>
          <w:b/>
        </w:rPr>
        <w:t>E. 1.3.5</w:t>
      </w:r>
    </w:p>
    <w:p>
      <w:r>
        <w:t>Nach dem Gesagten wurde das von den Beschwerdeführern mit ihrer Be- schwerde herausverlangte Bargeld beschlagnahmt. Die Beschwerde richtet sich somit gegen ein zulässiges Anfechtungsobjekt und ist keineswegs per se ausgeschlossen.</w:t>
      </w:r>
    </w:p>
    <w:p>
      <w:r>
        <w:rPr>
          <w:b/>
        </w:rPr>
        <w:t>E. 1.4.1</w:t>
      </w:r>
    </w:p>
    <w:p>
      <w:r>
        <w:t>Das für die Beschwerdelegitimation erforderliche schutzwürdige Interesse im Sinne von Art. 28 Abs. 1 VStrR liegt im Falle einer Beschlagnahme von Ver- mögenswerten in erster Linie bei deren Inhaber. Bloss wirtschaftlich daran</w:t>
      </w:r>
    </w:p>
    <w:p>
      <w:r>
        <w:t>- 6 -</w:t>
      </w:r>
    </w:p>
    <w:p>
      <w:r>
        <w:t>berechtigte Personen sind demgegenüber nur in Ausnahmefällen beschwer- delegitimiert (vgl. hierzu den Beschluss des Bundesstrafgerichts BV.2014.54 vom 14. Oktober 2014, E. 2.2 m.w.H.).</w:t>
      </w:r>
    </w:p>
    <w:p>
      <w:r>
        <w:rPr>
          <w:b/>
        </w:rPr>
        <w:t>E. 1.4.2</w:t>
      </w:r>
    </w:p>
    <w:p>
      <w:r>
        <w:t>Bei den ausdrücklich als solchen bezeichneten Beschwerdeführern handelt es sich um den Beschuldigten A. und um die ehemalige Betreiberin des durchsuchten Club C., die B. GmbH, wobei A. deren Geschäftsführer ist. Die Beschwerdeführer führen hierzu aus, Letztere sei gegen die Beschlagnahme von Vermögenswerten als Direktbetroffene zur Beschwerdeführung berech- tigt. Der Beschwerdeführer 1 sei demgegenüber als Geschäftsführer zur Be- schwerde legitimiert (act. 1, Rz. 4.2). An anderer Stelle machen die Be- schwerdeführer jedoch geltend, der Club C. werde seit dem 1. Juli 2013 durch die Q. GmbH geführt und die beschlagnahmten Barmittel stünden voll- umfänglich in deren Eigentum (act. 1, Rz. 5.4; act. 9, S. 7 f.).</w:t>
      </w:r>
    </w:p>
    <w:p>
      <w:r>
        <w:rPr>
          <w:b/>
        </w:rPr>
        <w:t>E. 1.4.3</w:t>
      </w:r>
    </w:p>
    <w:p>
      <w:r>
        <w:t>Gestützt auf deren eigene Vorbringen fehlt es den eingangs erwähnten Be- schwerdeführern somit an der Legitimation zur Anfechtung der vorliegenden Vermögensbeschlagnahme. Stehen die entsprechenden Barmittel im Eigen- tum der Q. GmbH, so wäre gegebenenfalls diese zur Beschwerdeerhebung berechtigt gewesen. Die Legitimation der beiden Beschwerdeführer lässt sich demgegenüber weder aus deren Stellung als ehemalige Betreiberin des durchsuchten Club C. bzw. als ihr Geschäftsführer noch aus der Stellung als beschuldigte Person im Verwaltungsstrafverfahren ableiten (Beschluss des Bundesstrafgerichts BV.2014.54 vom 14. Oktober 2014, E. 2.2).</w:t>
      </w:r>
    </w:p>
    <w:p>
      <w:r>
        <w:rPr>
          <w:b/>
        </w:rPr>
        <w:t>E. 1.5</w:t>
      </w:r>
    </w:p>
    <w:p>
      <w:r>
        <w:t>Nach dem Gesagten ist auf die Beschwerde nicht einzutreten.</w:t>
      </w:r>
    </w:p>
    <w:p>
      <w:r>
        <w:rPr>
          <w:b/>
        </w:rPr>
        <w:t>E. 2</w:t>
      </w:r>
    </w:p>
    <w:p>
      <w:r>
        <w:t>Bei diesem Ausgang des Verfahrens haben die Beschwerdeführer die Ge- richtskosten zu tragen (Art. 66 Abs. 1 BGG analog; vgl. TPF 2011 25 E. 3). Die Gerichtsgebühr wird festgesetzt auf Fr. 2‘000.–, unter Anrechnung des geleisteten Kostenvorschusses in gleicher Höhe (vgl. act. 8; Art. 25 Abs. 4 VStrR i.V.m. Art. 73 StBOG und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