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BV.2015.11 vom 11. August 2015</w:t>
      </w:r>
    </w:p>
    <w:p>
      <w:r>
        <w:t>Bundesstrafgericht, 2015-08-11, DE</w:t>
      </w:r>
    </w:p>
    <w:p>
      <w:r>
        <w:rPr>
          <w:b/>
        </w:rPr>
        <w:t xml:space="preserve">Quelle: </w:t>
      </w:r>
      <w:r>
        <w:t>https://mcp.opencaselaw.ch/entscheid/bstger_BV.2015.11</w:t>
      </w:r>
    </w:p>
    <w:p>
      <w:r>
        <w:t>FR: TPF BV.2015.11 du 11 août 2015</w:t>
      </w:r>
    </w:p>
    <w:p>
      <w:r>
        <w:t>IT: TPF BV.2015.11 del 11 agosto 2015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Juli 2012, E. 1.2; 2C_77/2007 vom 2. April 2009, E. 3; jeweils m.w.H.);</w:t>
      </w:r>
    </w:p>
    <w:p>
      <w:r>
        <w:t>- vorliegend der Rechtsstreit durch die Aufhebung der angefochtenen Be- schlagnahme gegenstandslos geworden ist;</w:t>
      </w:r>
    </w:p>
    <w:p>
      <w:r>
        <w:t>- gemäss Art. 62 ff. und Art. 71 BGG analog (siehe TPF 2011 25 E. 3) i.V.m. Art. 72 BZP bei Gegenstandslosigkeit des Verfahrens mit summarischer Be- gründung auf Grund der Sachlage vor Eintritt des Erledigungsgrundes über die Prozesskosten zu entscheiden ist;</w:t>
      </w:r>
    </w:p>
    <w:p>
      <w:r>
        <w:t>- gemäss Beschwerdegegnerin kein Anfangsverdacht mehr besteht, die be- schlagnahmten Gelder stünden in Zusammenhang mit Widerhandlungen ge- gen das SBG, was sie zur Aufhebung der Beschlagnahme bewog (vgl. act. 10);</w:t>
      </w:r>
    </w:p>
    <w:p>
      <w:r>
        <w:t>- sich diese Einschätzung aufgrund der vorliegenden Akten als zutreffend er- weist, weshalb die Beschwerdeführer im Beschwerdeverfahren mit einiger Wahrscheinlichkeit obsiegt hätten;</w:t>
      </w:r>
    </w:p>
    <w:p>
      <w:r>
        <w:t>- bei dieser Sachlage keine Gerichtskosten zu erheben sind (Art. 25 Abs. 4 VStrR i.V.m. Art. 66 Abs. 4 BGG analog);</w:t>
      </w:r>
    </w:p>
    <w:p>
      <w:r>
        <w:t>- die Beschwerdegegnerin den Beschwerdeführern für ihre Aufwendungen im Beschwerdeverfahren eine Parteientschädigung zu entrichten hat (Art. 25 Abs. 4 VStrR i.V.m. Art. 68 Abs. 1 BGG analog);</w:t>
      </w:r>
    </w:p>
    <w:p>
      <w:r>
        <w:t>- sich diese grundsätzlich nach dem vom Vertreter der Beschwerdeführer in act. 12 geltend gemachten Stundenaufwand bemisst (Art. 10 und 12 Abs. 1 des Reglements des Bundesstrafgerichts vom 31. August 2010 über die Kos- ten, Gebühren und Entschädigungen in Bundesstrafverfahren [BStKR; SR 173.713.162]), welcher angemessen erscheint;</w:t>
      </w:r>
    </w:p>
    <w:p>
      <w:r>
        <w:t>- sich der in Beschwerdeverfahren vor der Beschwerdekammer normaler- weise anzuwendende Stundenansatz jedoch auf Fr. 230.–, nicht auf Fr. 250.– beläuft (vgl. hierzu den Beschluss des Bundesstrafgerichts BB.2012.8 vom 2. März 2012, E. 4.2);</w:t>
      </w:r>
    </w:p>
    <w:p>
      <w:r>
        <w:t>- sich die Parteientschädigung für das vorliegende Beschwerdeverfahren da- her auf Fr. 1'902.60 beläuft (inkl. Auslagen und MwSt.);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