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BV.2014.80 vom 10. Dezember 2014</w:t>
      </w:r>
    </w:p>
    <w:p>
      <w:r>
        <w:t>Bundesstrafgericht, 2014-12-10, DE</w:t>
      </w:r>
    </w:p>
    <w:p>
      <w:r>
        <w:rPr>
          <w:b/>
        </w:rPr>
        <w:t xml:space="preserve">Quelle: </w:t>
      </w:r>
      <w:r>
        <w:t>https://mcp.opencaselaw.ch/entscheid/bstger_BV.2014.80</w:t>
      </w:r>
    </w:p>
    <w:p>
      <w:r>
        <w:t>FR: TPF BV.2014.80 du 10 décembre 2014</w:t>
      </w:r>
    </w:p>
    <w:p>
      <w:r>
        <w:t>IT: TPF BV.2014.80 del 10 dicembre 2014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Volltext</w:t>
      </w:r>
    </w:p>
    <w:p>
      <w:r>
        <w:t>Beschluss vom 10. Dezember 2014 Beschwerdekammer Besetzung</w:t>
      </w:r>
    </w:p>
    <w:p>
      <w:r>
        <w:t>Bundesstrafrichter Stephan Blättler, Vorsitz, Andreas J. Keller und Emanuel Hochstrasser, Gerichtsschreiberin Chantal Blättler Grivet Fojaja</w:t>
      </w:r>
    </w:p>
    <w:p>
      <w:r>
        <w:t>Parteien</w:t>
      </w:r>
    </w:p>
    <w:p>
      <w:r>
        <w:t>A GMBH, vertreten durch B., Beschwerdeführerin</w:t>
      </w:r>
    </w:p>
    <w:p>
      <w:r>
        <w:t>gegen</w:t>
      </w:r>
    </w:p>
    <w:p>
      <w:r>
        <w:t>EIDGENÖSSISCHE STEUERVERWALTUNG, Beschwerdegegnerin</w:t>
      </w:r>
    </w:p>
    <w:p>
      <w:r>
        <w:t>Gegenstand</w:t>
      </w:r>
    </w:p>
    <w:p>
      <w:r>
        <w:t>Beschlagnahme (Art. 46 f.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BV.2014.80</w:t>
      </w:r>
    </w:p>
    <w:p>
      <w:r>
        <w:t>- 2 -</w:t>
      </w:r>
    </w:p>
    <w:p>
      <w:r>
        <w:t>Die Beschwerdekammer hält fest, dass:</w:t>
      </w:r>
    </w:p>
    <w:p>
      <w:r>
        <w:t>- die Eidgenössische Steuerverwaltung (nachfolgend "ESTV") gegen B. ein Strafverfahren eröffnete wegen Verdachts auf Hinterziehung von Steuern (Art. 96 Abs. 1 und 4 MWSTG), Abgabebetrugs (Art. 14 Abs. 2 VStrR) und Verletzung von Verfahrenspflichten (Art. 98 MWSTG) begangen als ver- antwortliches Organ der A. GmbH vom 1. Januar 2009 an durch Nichtver- buchung und Nichtdeklaration der der Mehrwertsteuer unterliegenden Um- sätze sowie durch nicht ordnungsgemässes Führen der Geschäftsbücher bzw. vom 4. April 2014 an durch Nichtbeantworten von Fragen im Rahmen einer Kontrolle (act. 2.5);</w:t>
      </w:r>
    </w:p>
    <w:p>
      <w:r>
        <w:t>- im Rahmen dieses Verfahrens am 19. November 2014 gestützt auf den Durchsuchungsbefehl des Direktors der ESTV vom 14. November 2014 Beamte der ESTV die Wohn- und Geschäftsräume von B. in Z. (Schweiz) durchsuchten und diverse elektronische Datenträger, Papiere und elektro- nische Daten beschlagnahmten (act. 2.6-2.8);</w:t>
      </w:r>
    </w:p>
    <w:p>
      <w:r>
        <w:t>- B. für die A. GmbH am 21. November 2014 Beschwerde erhebt und sinn- gemäss die Aufhebung der Beschlagnahme der obgenannten Gegenstän- de beantragt (act. 1);</w:t>
      </w:r>
    </w:p>
    <w:p>
      <w:r>
        <w:t>- die Beschwerdeschrift gemäss Art. 26 Abs. 2 lit. b VStrR beim Direktor der ESTV eingereicht wurde und die ESTV die Beschwerde am 28. Novem- ber 2014 an dieses Gericht weiterleitete und zugleich eine Beschwerde- antwort einreichte (act. 2);</w:t>
      </w:r>
    </w:p>
    <w:p>
      <w:r>
        <w:t>- mit Eingabe vom 4. Dezember 2014 B. den Rückzug der Beschwerde er- klärte und ausführte, dass durch die nachträglich und unverständlich spät erhaltenen Informationen sich die am 21. November 2014 eingereichte Be- schwerde teilweise erübrige (act. 5);</w:t>
      </w:r>
    </w:p>
    <w:p>
      <w:r>
        <w:t>- B. von der Beschwerdekammer mit Schreiben vom 5. Dezember 2014 dazu aufgefordert wurde, umgehend mitzuteilen, ob die Beschwerde vollumfäng- lich oder nur teilweise zurückgezogen werde und in wessen Namen die Be- schwerde erhoben bzw. der Rückzug der Beschwerde erklärt worden sei (act. 6);</w:t>
      </w:r>
    </w:p>
    <w:p>
      <w:r>
        <w:t>- B. daraufhin erklärte, dass er die Beschwerde in seiner Funktion als Ge- schäftsführer der A. GmbH erhoben habe und die Beschwerde vollumfäng- lich zurückziehe (act. 7), mithin im Rubrum einzig die A. GmbH als Be- schwerdeführerin aufzunehmen ist,</w:t>
      </w:r>
    </w:p>
    <w:p>
      <w:r>
        <w:t>- 3 -</w:t>
      </w:r>
    </w:p>
    <w:p>
      <w:r>
        <w:t>- der Rückzug der Beschwerde der Beschwerdegegnerin am 9. Dezem- ber 2014 zur Kenntnis gebracht wurde (act. 8);</w:t>
      </w:r>
    </w:p>
    <w:p>
      <w:r>
        <w:t>Die Beschwerdekammer zieht in Erwägung, dass:</w:t>
      </w:r>
    </w:p>
    <w:p>
      <w:r>
        <w:t>- Widerhandlungen gegen das Mehrwertsteuergesetz nach diesem und nach dem VStrR verfolgt und beurteilt werden (Art. 103 Abs. 1 MWSTG);</w:t>
      </w:r>
    </w:p>
    <w:p>
      <w:r>
        <w:t>- gegen Zwangsmassnahmen im Sinne der Art. 45 ff. VStrR und damit zu- sammenhängende Amtshandlungen bei der Beschwerdekammer des Bun- desstrafgerichts Beschwerde geführt werden kann (Art. 26 Abs. 1 VStrR i.V.m. Art. 37 Abs. 2 lit. b StBGO);</w:t>
      </w:r>
    </w:p>
    <w:p>
      <w:r>
        <w:t>- der Rückzug der Beschwerde den Rechtsstreit beendet, weshalb das Be- schwerdeverfahren als erledigt abzuschreiben ist (vgl. Beschluss des Bun- desstrafgerichts BV.2014.40 vom 24. Juli 2014, E. 1.4);</w:t>
      </w:r>
    </w:p>
    <w:p>
      <w:r>
        <w:t>- die Gerichtskosten bei diesem Ausgang des Verfahrens der Beschwerde- führerin aufzuerlegen sind (Art. 66 Abs. 1 BGG analog; vgl. TPF 2011 25 E. 3); die Gerichtsgebühr dabei auf die minimalen Fr. 200.-- festzusetzen ist (Art. 73 StBOG und Art. 5 und 8 Abs. 1 BStKR).</w:t>
      </w:r>
    </w:p>
    <w:p>
      <w:r>
        <w:t>- 4 -</w:t>
      </w:r>
    </w:p>
    <w:p>
      <w:r>
        <w:t>Demnach erkennt die Beschwerdekammer:</w:t>
      </w:r>
    </w:p>
    <w:p>
      <w:r>
        <w:t>1. Das Beschwerdeverfahren wird zufolge Rückzugs der Beschwerde als erle- digt abgeschrieben.</w:t>
      </w:r>
    </w:p>
    <w:p>
      <w:r>
        <w:t>2. Die Gerichtsgebühr von Fr. 200.-- wird der Beschwerdeführerin auferlegt.</w:t>
      </w:r>
    </w:p>
    <w:p>
      <w:r>
        <w:t>Bellinzona, 11. Dezember 2014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B. - Eidgenössische Steuerverwaltung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