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BV.2014.64 vom 10. Dezember 2014</w:t>
      </w:r>
    </w:p>
    <w:p>
      <w:r>
        <w:t>Bundesstrafgericht, 2014-12-10, FR</w:t>
      </w:r>
    </w:p>
    <w:p>
      <w:r>
        <w:rPr>
          <w:b/>
        </w:rPr>
        <w:t xml:space="preserve">Quelle: </w:t>
      </w:r>
      <w:r>
        <w:t>https://mcp.opencaselaw.ch/entscheid/bstger_BV.2014.64</w:t>
      </w:r>
    </w:p>
    <w:p>
      <w:r>
        <w:t>FR: TPF BV.2014.64 du 10 décembre 2014</w:t>
      </w:r>
    </w:p>
    <w:p>
      <w:r>
        <w:t>IT: TPF BV.2014.64 del 10 dicembre 2014</w:t>
      </w:r>
    </w:p>
    <w:p>
      <w:pPr>
        <w:pStyle w:val="Heading2"/>
      </w:pPr>
      <w:r>
        <w:t>Regeste</w:t>
      </w:r>
    </w:p>
    <w:p>
      <w:r>
        <w:t>Séquestre (art. 46 DPA). Perqusition (art. 48 s.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de la plainte.</w:t>
      </w:r>
    </w:p>
    <w:p>
      <w:r>
        <w:rPr>
          <w:b/>
        </w:rPr>
        <w:t>E. 2</w:t>
      </w:r>
    </w:p>
    <w:p>
      <w:r>
        <w:t>La procédure BV.2014.64-78 est rayée du rôle.</w:t>
      </w:r>
    </w:p>
    <w:p>
      <w:r>
        <w:rPr>
          <w:b/>
        </w:rPr>
        <w:t>E. 3</w:t>
      </w:r>
    </w:p>
    <w:p>
      <w:r>
        <w:t>Un émolument de CHF 500.-- est mis à la charge solidaire des plaignants.</w:t>
      </w:r>
    </w:p>
    <w:p>
      <w:r>
        <w:t>Bellinzone, le 11 décembre 2014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Alexandre Faltin, avocat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