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BV.2014.54 vom 14. Oktober 2014</w:t>
      </w:r>
    </w:p>
    <w:p>
      <w:r>
        <w:t>Bundesstrafgericht, 2014-10-14, DE</w:t>
      </w:r>
    </w:p>
    <w:p>
      <w:r>
        <w:rPr>
          <w:b/>
        </w:rPr>
        <w:t xml:space="preserve">Quelle: </w:t>
      </w:r>
      <w:r>
        <w:t>https://mcp.opencaselaw.ch/entscheid/bstger_BV.2014.54</w:t>
      </w:r>
    </w:p>
    <w:p>
      <w:r>
        <w:t>FR: TPF BV.2014.54 du 14 octobre 2014</w:t>
      </w:r>
    </w:p>
    <w:p>
      <w:r>
        <w:t>IT: TPF BV.2014.54 del 14 ottobre 2014</w:t>
      </w:r>
    </w:p>
    <w:p>
      <w:pPr>
        <w:pStyle w:val="Heading2"/>
      </w:pPr>
      <w:r>
        <w:t>Regeste</w:t>
      </w:r>
    </w:p>
    <w:p>
      <w:r>
        <w:t>Beschlagnahme (Art. 46 f. VStrR).</w:t>
      </w:r>
    </w:p>
    <w:p>
      <w:pPr>
        <w:pStyle w:val="Heading2"/>
      </w:pPr>
      <w:r>
        <w:t>Erwägungen</w:t>
      </w:r>
    </w:p>
    <w:p>
      <w:r>
        <w:rPr>
          <w:b/>
        </w:rPr>
        <w:t>E. 1</w:t>
      </w:r>
    </w:p>
    <w:p>
      <w:r>
        <w:t>Gemäss Art. 90 Abs. 1 des Bundesgesetzes vom 15. Dezember 2000 über Arzneimittel und Medizinprodukte (Heilmittelgesetz, HMG; SR 812.21) wird die Strafverfolgung im Vollzugsbereich des Bundes von der Beschwerde- gegnerin nach den Bestimmungen des VStrR geführt.</w:t>
      </w:r>
    </w:p>
    <w:p>
      <w:r>
        <w:rPr>
          <w:b/>
        </w:rPr>
        <w:t>E. 2.1</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w:t>
      </w:r>
    </w:p>
    <w:p>
      <w:r>
        <w:t>- 4 -</w:t>
      </w:r>
    </w:p>
    <w:p>
      <w:r>
        <w:rPr>
          <w:b/>
        </w:rPr>
        <w:t>E. 2.2</w:t>
      </w:r>
    </w:p>
    <w:p>
      <w:r>
        <w:t>Ein schutzwürdiges Interesse im Sinne von Art. 28 Abs. 1 VStrR liegt bei der Sperrung von Konten in erster Linie beim jeweiligen Kontoinhaber. Bloss wirtschaftlich an einem Konto Berechtigte sind nur in Ausnahmefällen beschwerdelegitimiert, beispielsweise wenn die juristische Person, an der sie wirtschaftlich berechtigt waren, liquidiert wurde und nicht mehr existiert (vgl. hierzu TPF 2007 158 E. 1.2; Beschluss des Bundesstrafgerichts BV.2014.33 vom 15. Juli 2014, E. 1.3).</w:t>
      </w:r>
    </w:p>
    <w:p>
      <w:r>
        <w:t>Beim ausdrücklich als solchen bezeichneten Beschwerdeführer A. (act. 1, S. 1) handelt es sich um die beschuldigte Person, nicht aber um den Inha- ber des von der angefochtenen Massnahme betroffenen Kontos. Auf die Beschwerde ist daher schon aufgrund der fehlenden Legitimation des Be- schwerdeführers nicht einzutreten. Aufgrund der vorliegenden Akten drän- gen sich aber hinsichtlich des Anfechtungsobjekts die nachfolgenden Er- wägungen auf.</w:t>
      </w:r>
    </w:p>
    <w:p>
      <w:r>
        <w:rPr>
          <w:b/>
        </w:rPr>
        <w:t>E. 2.3.1</w:t>
      </w:r>
    </w:p>
    <w:p>
      <w:r>
        <w:t>Gegenstand der vorliegenden Beschwerde ist – trotz der Ausfertigung der angefochtenen Verfügung als Beschlagnahmeverfügung im Sinne von Art. 46 Abs. 1 lit. b VStrR – kein Zwangsmassnahmenentscheid einer Straf- justizbehörde des Bundes. Bei der fraglichen Zwangsmassnahme handelt es sich um eine gestützt auf österreichisches Prozessrecht verfügte Verfü- gungssperre von österreichischen Behörden hinsichtlich sich in Österreich befindender Vermögenswerte. Daran ändert der Umstand nichts, dass die österreichischen Behörden diese Verfügungssperre aufgrund eines schweizerischen Rechtshilfeersuchens verfügt haben. Die angefochtene Verfügung ist daher kein Anfechtungsobjekt im Sinne des Art. 26 Abs. 1 VStrR, sondern Teil eines schweizerischen Rechtshilfeersuchens an Öster- reich bzw. dient lediglich zu dessen Ergänzung (vgl. hierzu das Urteil des Bundesgerichts 1B_285/2011 vom 18. November 2011, E. 2.2; siehe in diesem Zusammenhang auch TPF 2006 280 E. 2.2 und den Beschluss des Bundesstrafgerichts BB.2012.96 vom 12. Dezember 2012, E. 1.2). Auf die vorliegende Beschwerde kann somit als solche im Sinne des Art. 26 Abs. 1 VStrR bereits mangels zulässigen Anfechtungsobjekts nicht eingetreten werden.</w:t>
      </w:r>
    </w:p>
    <w:p>
      <w:r>
        <w:rPr>
          <w:b/>
        </w:rPr>
        <w:t>E. 2.3.2</w:t>
      </w:r>
    </w:p>
    <w:p>
      <w:r>
        <w:t>Das HMG befasst sich unter dem Abschnitt "Schweigepflicht und Datenbe- kanntgabe" in Art. 64 auch mit der internationalen Amtshilfe, wobei aus- drücklich vorgesehen ist, dass die Bestimmungen über die Rechtshilfe in Strafsachen vorbehalten bleiben (Art. 64 Abs. 6 HMG). Die Anfechtbarkeit von schweizerischen Rechtshilfeersuchen an einen anderen Staat richtet</w:t>
      </w:r>
    </w:p>
    <w:p>
      <w:r>
        <w:t>- 5 -</w:t>
      </w:r>
    </w:p>
    <w:p>
      <w:r>
        <w:t>sich nach Art. 25 Abs. 2 IRSG. Demnach ist gegen ein solches Ersuchen die Beschwerde nur zulässig, wenn der ausländische Staat von den schweizerischen Behörden um Übernahme der Strafverfolgung oder der Urteilsvollstreckung ersucht wird, wobei in diesem Fall einzig der Verfolgte, der seinen gewöhnlichen Aufenthalt in der Schweiz hat, beschwerdebe- rechtigt ist. Eine Anfechtbarkeit der vorliegenden Verfügung im Sinne (ei- nes Teils) eines schweizerischen Rechtshilfeersuchens an die österreichi- schen Behörden fällt angesichts dieser Bestimmung ebenso offensichtlich ausser Betracht (vgl. hierzu den Beschluss des Bundesstrafgerichts BB.2012.96 vom 12. Dezember 2012, E. 1.3 m.w.H.).</w:t>
      </w:r>
    </w:p>
    <w:p>
      <w:r>
        <w:rPr>
          <w:b/>
        </w:rPr>
        <w:t>E. 3</w:t>
      </w:r>
    </w:p>
    <w:p>
      <w:r>
        <w:t>Nach dem Gesagten erweist sich die Beschwerde in mehrfacher Hinsicht als unzulässig, weshalb auf sie nicht einzutreten ist.</w:t>
      </w:r>
    </w:p>
    <w:p>
      <w:r>
        <w:rPr>
          <w:b/>
        </w:rPr>
        <w:t>E. 4</w:t>
      </w:r>
    </w:p>
    <w:p>
      <w:r>
        <w:t>Bei diesem Ausgang des Verfahrens wären die Gerichtskosten in der Regel dem unterliegenden Beschwerdeführer aufzuerlegen (Art. 66 Abs. 1 BGG analog; vgl. hierzu TPF 2011 25 E. 3). Jedoch darf einer Partei aus einer falschen Rechtsmittelbelehrung kein Rechtsnachteil erwachsen, wenn sie sich in guten Treuen darauf verlassen durfte (HÄFELIN/MÜLLER/UHLMANN, Allgemeines Verwaltungsrecht, 5. Aufl., Zürich/St. Gallen 2006, N. 1646). Dieser öffentlich-rechtliche Grundsatz kann im vorliegenden Fall analog zur Anwendung gebracht werden (vgl. hierzu nebst anderen die Entscheide des Bundesstrafgerichts BV.2010.69 vom 14. Dezember 2010, E. 2.2; BV.2006.12 vom 15. Februar 2006). Da sich der Beschwerdeführer vorlie- gend in guten Treuen auf die falsche Rechtsmittelbelehrung hat verlassen dürfen, rechtfertigt es sich vorliegend von einer Auferlegung der Gerichts- kosten abzusehen (Art. 5 Abs. 3 BV; vgl. hierzu BGE 138 I 49 E. 8.3.1 und 8.3.2).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