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BV.2014.45 vom 21. November 2014</w:t>
      </w:r>
    </w:p>
    <w:p>
      <w:r>
        <w:t>Bundesstrafgericht, 2014-11-21, DE</w:t>
      </w:r>
    </w:p>
    <w:p>
      <w:r>
        <w:rPr>
          <w:b/>
        </w:rPr>
        <w:t xml:space="preserve">Quelle: </w:t>
      </w:r>
      <w:r>
        <w:t>https://mcp.opencaselaw.ch/entscheid/bstger_BV.2014.45</w:t>
      </w:r>
    </w:p>
    <w:p>
      <w:r>
        <w:t>FR: TPF BV.2014.45 du 21 novembre 2014</w:t>
      </w:r>
    </w:p>
    <w:p>
      <w:r>
        <w:t>IT: TPF BV.2014.45 del 21 novembre 2014</w:t>
      </w:r>
    </w:p>
    <w:p>
      <w:pPr>
        <w:pStyle w:val="Heading2"/>
      </w:pPr>
      <w:r>
        <w:t>Regeste</w:t>
      </w:r>
    </w:p>
    <w:p>
      <w:r>
        <w:t>Beschlagnahme (Art. 46 f. VStrR).</w:t>
      </w:r>
    </w:p>
    <w:p>
      <w:pPr>
        <w:pStyle w:val="Heading2"/>
      </w:pPr>
      <w:r>
        <w:t>Erwägungen</w:t>
      </w:r>
    </w:p>
    <w:p>
      <w:r>
        <w:rPr>
          <w:b/>
        </w:rPr>
        <w:t>E. 1.1</w:t>
      </w:r>
    </w:p>
    <w:p>
      <w:r>
        <w:t>Widerhandlungen gegen das Mehrwertsteuergesetz werden nach diesem und nach dem VStrR verfolgt und beurteilt (Art. 103 Abs. 1 MWSTG; vgl. auch CAMENZIND/HONAUER/VALLENDER/JUNG/PROBST, Handbuch zum Mehrwertsteuergesetz [MWSTG], 3. Aufl., Bern 2012, N. 2696). Bei der In- landsteuer obliegt die Strafverfolgung hierbei der Beschwerdegegnerin (Art. 103 Abs. 2 MWSTG).</w:t>
      </w:r>
    </w:p>
    <w:p>
      <w:r>
        <w:t>- 3 -</w:t>
      </w:r>
    </w:p>
    <w:p>
      <w:r>
        <w:rPr>
          <w:b/>
        </w:rPr>
        <w:t>E. 1.2</w:t>
      </w:r>
    </w:p>
    <w:p>
      <w:r>
        <w:t>Gegen Zwangsmassnahmen im Sinne der Art. 45 ff. VStrR und damit zu- sammenhängenden Amtshandlungen kann bei der Beschwerdekammer des Bundesstrafgerichts Beschwerde geführt werden (Art. 26 Abs. 1 VStrR i.V.m. Art. 37 Abs. 2 lit. b StBOG).</w:t>
      </w:r>
    </w:p>
    <w:p>
      <w:r>
        <w:t>Die Beschwerde ist innert drei Tagen, nachdem der Beschwerdeführer von der Amtshandlung Kenntnis hat, bei der zuständigen Behörde schriftlich mit Antrag und kurzer Begründung einzureichen (Art. 28 Abs. 3 VStrR). Ist die Beschwerde nicht gegen den Direktor oder Chef der beteiligten Verwaltung gerichtet, ist sie bei diesem einzureichen (Art. 26 Abs. 2 lit. b VStrR). Be- richtigt derselbe die angefochtene Amtshandlung nicht im Sinne der gestell- ten Anträge, hat er die Beschwerde mit seiner Äusserung spätestens am dritten Werktag nach ihrem Eingang an die Beschwerdekammer weiterzu- leiten (Art. 26 Abs. 3 VStrR).</w:t>
      </w:r>
    </w:p>
    <w:p>
      <w:r>
        <w:t>Die Beschlagnahme wurde am 3. Juli 2014 verfügt und die Beschwerdefüh- rer gleichentags darüber in Kenntnis gesetzt (act. 2.3 und act. 2.4). Die Be- schwerde vom 7. Juli 2014 wurde damit fristgerecht dem Direktor der ESTV eingereicht (act. 1).</w:t>
      </w:r>
    </w:p>
    <w:p>
      <w:r>
        <w:rPr>
          <w:b/>
        </w:rPr>
        <w:t>E. 1.3</w:t>
      </w:r>
    </w:p>
    <w:p>
      <w:r>
        <w:t>Zur Beschwerde ist berechtigt, wer durch die angefochtene Amtshandlung berührt ist und ein schutzwürdiges Interesse an deren Aufhebung oder Än- derung hat (Art. 28 Abs. 1 VStrR; TPF 2004 34 E. 2.1). Fällt das aktuelle In- teresse des Beschwerdeführers im Verlaufe des Beschwerdeverfahrens dahin, so wird Letzteres als erledigt erklärt (vgl. hierzu das Urteil des Bun- desgerichts 2C_77/2007 vom 2. April 2009, E. 3 m.w.H.).</w:t>
      </w:r>
    </w:p>
    <w:p>
      <w:r>
        <w:t>Die im Beschlagnahmeprotokoll aufgelisteten Vermögenswerte und Ge- genstände (Positionen E.1-25) sollen gemäss Beschwerdeschrift den Be- schwerdeführern "gehören", was von der Beschwerdegegnerin nicht bestrit- ten wird. Grundsätzlich ist der Eigentümer von beschlagnahmten Gegen- ständen und Vermögenswerten durch die Beschlagnahme beschwert und insoweit auch zur Beschwerde gegen die Beschlagnahme legitimiert. So- weit vorliegend die Beschwerdeführer in ihrer Replik ausführen, dass der Memory Stick Philips und das MacBook Pro (Positionen E.24 und E.25) wieder herausgegeben worden seien, ist der Rechtsstreit mit Bezug auf diese Objekte jedoch gegenstandslos geworden, weshalb das Verfahren in diesem Umfang als erledigt abzuschreiben ist. Hinsichtlich der beschlag- nahmten Vermögenswerte (Positionen E.1-23) sind die Beschwerdeführer jedoch durch die Beschlagnahme beschwert, sodass diesbezüglich auf die Beschwerde einzutreten ist.</w:t>
      </w:r>
    </w:p>
    <w:p>
      <w:r>
        <w:t>- 4 -</w:t>
      </w:r>
    </w:p>
    <w:p>
      <w:r>
        <w:rPr>
          <w:b/>
        </w:rPr>
        <w:t>E. 2</w:t>
      </w:r>
    </w:p>
    <w:p>
      <w:r>
        <w:t>Mit der Beschwerde kann die Verletzung von Bundesrecht, die unrichtige oder unvollständige Feststellung des Sachverhalts oder die Unangemes- senheit gerügt werden (Art. 28 Abs. 2 VStrR). Nach der bundesgerichtli- chen Rechtsprechung muss sich sodann die urteilende Instanz nicht mit al- len Parteistandpunkten einlässlich auseinandersetzen und jedes einzelne Vorbringen ausdrücklich widerlegen. Sie kann sich auf die für ihren Ent- scheid wesentlichen Punkte beschränken. Es genügt, wenn die Behörde wenigstens kurz die Überlegungen nennt, von denen sie sich leiten liess und auf welche sich ihr Entscheid stützt (BGE 134 I 83 E. 4.1 S. 88 [zu Art. 29 Abs. 2 BV]; Urteil des Bundesgerichts 1A.59/2004 vom 16. Juli 2004, E. 5.2 m.w.H.).</w:t>
      </w:r>
    </w:p>
    <w:p>
      <w:r>
        <w:rPr>
          <w:b/>
        </w:rPr>
        <w:t>E. 3.1</w:t>
      </w:r>
    </w:p>
    <w:p>
      <w:r>
        <w:t>In formeller Hinsicht rügen die Beschwerdeführer zunächst, die Beschlag- nahmeverfügung sei nicht rechtsgültig unterzeichnet (act. 1 S. 2).</w:t>
      </w:r>
    </w:p>
    <w:p>
      <w:r>
        <w:rPr>
          <w:b/>
        </w:rPr>
        <w:t>E. 3.2</w:t>
      </w:r>
    </w:p>
    <w:p>
      <w:r>
        <w:t>Vorliegend ist die Beschlagnahmeverfügung in Form des Beschlagnahme- protokolls ergangen. Während die von den Beschwerdeführern eingereich- te Beschlagnahmeverfügung keine handschriftliche Unterzeichnung der die Beschlagnahme durchgeführten Beamten trägt (act. 1.2), ist das von der Beschwerdegegnerin eingereichte Exemplar unter anderem vom einsatzlei- tenden Mitarbeiter der Beschwerdegegnerin unterzeichnet (act. 2.5).</w:t>
      </w:r>
    </w:p>
    <w:p>
      <w:r>
        <w:t>Obschon sich das VStrR nicht explizit dazu äussert, in welcher Form Be- schlagnahmeverfügungen zu ergehen haben, steht – schon aus Gründen der Rechtssicherheit – ausser Zweifel, dass dies in Schriftform zu gesche- hen hat, was sich im Übrigen auch aus Art. 34 Abs. 1 VwVG ergibt. Das Er- fordernis der Schriftlichkeit ergibt sich ferner selbstredend dann, wenn die Beschlagnahmeverfügung in Form des Beschlagnahmeprotokolls ergeht. Die Frage, ob die erforderliche Schriftlichkeit auch die Unterschrift der be- treffenden Behörde beinhaltet, ist dann zu bejahen, wenn das anwendbare Recht die Unterschrift ausdrücklich verlangt (BGE 105 V 248 E. 4; UHL- MANN/SCHWANK, in: WALDMANN/WEISSENBERGER [Hrsg.], Praxiskommentar zum Bundesgesetz über das Verwaltungsverfahren, Zürich/Basel/Genf 2009, N 22 zu Art. 38; KIENER/RÜTSCHE/KUHN, Öffentliches Verfahrens- recht, Zürich/St. Gallen 2012, N. 808, S. 189). Eine derartige Bestimmung fehlt jedoch im VStrR gerade, und Art. 34 VwVG verlangt die Unterschrift nicht, sodass sich die Beschwerdeführer aus der mangelnden Unterzeich- nung des ihnen ausgehändigten Exemplars der Beschlagnahmeverfügung nichts zu ihren Gunsten ableiten können. Im Übrigen haben die Beschwer-</w:t>
      </w:r>
    </w:p>
    <w:p>
      <w:r>
        <w:t>- 5 -</w:t>
      </w:r>
    </w:p>
    <w:p>
      <w:r>
        <w:t>deführer die Bedeutung der Beschlagnahmeverfügung erkannt und recht- zeitig Beschwerde erhoben, sodass ihnen aus der mangelnden Unterschrift auch gar kein Nachteil erwachsen ist. Die Beschwerde ist daher in diesem Punkt abzuweisen.</w:t>
      </w:r>
    </w:p>
    <w:p>
      <w:r>
        <w:rPr>
          <w:b/>
        </w:rPr>
        <w:t>E. 4.1</w:t>
      </w:r>
    </w:p>
    <w:p>
      <w:r>
        <w:t>Die Beschwerdeführer bestreiten sodann das Vorliegen oder die Teilnahme an einer Straftat sowie die Verhältnismässigkeit der Beschlagnahme (act. 1 S. 2; act. 7 S. 3).</w:t>
      </w:r>
    </w:p>
    <w:p>
      <w:r>
        <w:rPr>
          <w:b/>
        </w:rPr>
        <w:t>E. 4.2</w:t>
      </w:r>
    </w:p>
    <w:p>
      <w:r>
        <w:t>Die Beschwerdegegnerin hat den Verdacht, dass der Beschwerdeführer 2 seit dem 1. Juni 2011 Einnahmen der Beschwerdeführerin 1 nicht bzw. un- vollständig verbucht sowie zu hohe zum Vorsteuerabzug berechtigte Aus- gaben deklariert habe. Sie geht davon aus, dass dadurch der Fiskus um rund CHF 60'000.-- geprellt worden sei (act. 2).</w:t>
      </w:r>
    </w:p>
    <w:p>
      <w:r>
        <w:rPr>
          <w:b/>
        </w:rPr>
        <w:t>E. 4.3.1</w:t>
      </w:r>
    </w:p>
    <w:p>
      <w:r>
        <w:t>Art. 103 Abs. 1 und 2 und Art. 96 Abs. 1 und 2 MWSTG i.V.m. Art. 46 Abs. 1 lit. b VStrR ermächtigt die Beschwerdegegnerin als zuständige Un- tersuchungsbehörde im Rahmen der Fiskaluntersuchung bei Hinterziehung der Mehrwertsteuer zur prozessualen Beschlagnahme von Gegenständen und anderen Vermögenswerten, die voraussichtlich der Einziehung unter- liegen. Der Einziehung gemäss Art. 70 Abs. 1 StGB unterliegen u. a. alle wirtschaftlichen Vorteile, die sich rechnerisch ermitteln lassen und die direkt oder indirekt durch die strafbare Handlung erlangt worden sind. Bei der Steuerhinterziehung besteht der sich aus dem Delikt ergebende Vermö- gensvorteil im Gegenwert der hinterzogenen Steuern (Urteile des Bundes- gerichts 1S.8/2006 vom 12. Dezember 2006, E. 5.3; 1S.9/2005 vom 6. Ok- tober 2005, E. 7.1; 1S.5/2005 vom 26. September 2005, E. 7.4; jeweils mit Hinweis auf BGE 120 IV 365 E. 1 S. 366 f.).</w:t>
      </w:r>
    </w:p>
    <w:p>
      <w:r>
        <w:t>Voraussetzung einer Beschlagnahme ist zunächst, dass ein hinreichender Verdacht auf eine strafbare Handlung vorliegt. Der hinreichende Verdacht setzt – in Abgrenzung zum dringenden – nicht voraus, dass Beweise und Indizien bereits für eine erhebliche oder hohe Wahrscheinlichkeit einer Verurteilung sprechen; allerdings muss er sich im Verlaufe der Ermittlungen weiter verdichten (TPF 2010 22 E. 2.1 S. 24 f.; Entscheid des Bundesstraf- gerichts BB.2011.25 vom 30. Mai 2011, E. 3.2).</w:t>
      </w:r>
    </w:p>
    <w:p>
      <w:r>
        <w:rPr>
          <w:b/>
        </w:rPr>
        <w:t>E. 4.3.2</w:t>
      </w:r>
    </w:p>
    <w:p>
      <w:r>
        <w:t>Das rechtliche Gehör nach Art. 29 Abs. 2 BV verlangt, dass die beschlag- nahmende Behörde ihren Beschlagnahmeentscheid begründet. Die Be-</w:t>
      </w:r>
    </w:p>
    <w:p>
      <w:r>
        <w:t>- 6 -</w:t>
      </w:r>
    </w:p>
    <w:p>
      <w:r>
        <w:t>gründung muss so abgefasst sein, dass sich der Betroffene über die Trag- 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133 III 439 E. 3.3; 130 II 530 E. 4.3; 129 I 232 E. 3.2; 126 I 97 E. 2b).</w:t>
      </w:r>
    </w:p>
    <w:p>
      <w:r>
        <w:rPr>
          <w:b/>
        </w:rPr>
        <w:t>E. 4.3.3</w:t>
      </w:r>
    </w:p>
    <w:p>
      <w:r>
        <w:t>Die Beschlagnahmeverfügung vom 3. Juli 2014 – welche wie eingangs er- wähnt – im Beschlagnahmeprotokoll besteht, ist gänzlich unbegründet. Die Beschwerdegegnerin macht erstmals in ihrer Beschwerdeantwort Ausfüh- rungen zu den materiellen Voraussetzungen der Beschlagnahme. Sie führt aus, dass der Beschwerdeführer 2 zusammen mit zwei Brüdern und der Witwe eines verstorbenen Bruders die C. Gruppe führe, welche aus 30 asi- atischen Restaurants in den Kantonen Zürich, Zug, Bern und Aargau be- stehe. Die C. Gruppe setze jährlich CHF 35 Mio. um und beschäftige rund 500 überwiegend asiatische Mitarbeiter. Seit dem Tod des Bruders Anfang 2007 soll ein zivilrechtlicher Streit unter den Erben entfacht sein, der dazu geführt habe, dass die Restaurationsbetriebe auf verschiedene Gesell- schaften übertragen worden seien, wobei unterschiedliche Treuhänder und Personen für die jeweiligen Buchhaltungen zuständig seien und die Fragen der Steuerexperten der Hauptabteilung MWST, die diverse Mängel in der Buchhaltung festgestellt habe, nur ungenügend hätten beantworten kön- nen. Der Beschwerdeführer 2 sei einziger Geschäftsführer der Beschwer- deführerin 1. Den edierten Bankunterlagen das Konto des Beschwerdefüh- rers 2 bei der Bank D. AG betreffend (IBAN 1) lasse sich entnehmen, dass im Jahre 2011 grössere Geldbeträge von diesem Konto auf ein Konto lau- tend auf die Beschwerdeführerin 1 (IBAN 2) geflossen seien, nämlich: am 13. und 25. Mai CHF 80'000.-- und CHF 100'000.--, am 1. Juni CHF 40'000.--, am 24. August CHF 45'000.--, am</w:t>
      </w:r>
    </w:p>
    <w:p>
      <w:r>
        <w:rPr>
          <w:b/>
        </w:rPr>
        <w:t>E. 4.3.4</w:t>
      </w:r>
    </w:p>
    <w:p>
      <w:r>
        <w:t>Diese Begründung der Beschwerdegegnerin erlaubt nicht zu beurteilen, ob die Beschlagnahme gerechtfertigt ist. Die Beschwerdegegnerin begründet mit keinem Wort, worauf sich ihr Verdacht stützt, bei den ab Juni 2011 auf das Konto der Beschwerdeführerin 1 überwiesenen Geldbeträgen handle es sich um deren nicht deklarierte Einnahmen, auf die keine Mehrwert- steuer entrichtet worden sei. Die Beschwerdegegnerin führt zwar aus, ver- schiedene Gesellschaften in der C. Gruppe hätten seit mehreren Jahren keine handelsrechtlichen Abschlüsse mehr gemacht und die Steuerexper- ten hätten bei den vorgelegten Buchhaltungen immer wieder formelle und materielle Mängel festgestellt (act. 2 S. 2), daraus kann jedoch nicht ohne Weiteres geschlossen werden, bei den obgenannten Überweisungen hand- le es sich um nicht deklarierte Einnahmen der Beschwerdeführerin 1. We- der hat die Beschwerdeinstanz in den Akten nach tatbestandsbegründen- den Tatsachen zu forschen, noch hat sie diesbezüglich Mutmassungen an- zustellen. Die Beschwerdegegnerin kann insbesondere nicht erwarten, dass sich das Gericht die Begründung für die Beschlagnahme etwa aus dem von ihr eingereichten, anlässlich der Mehrwertsteuer-Revision am 2. September 2013 erstellten "Strafantrag" (act. 2.1) zusammenreimt. Es ist die Pflicht der Beschwerdegegnerin darzulegen, weshalb ihrer Ansicht nach die materiellen Voraussetzungen der Beschlagnahme im konkreten Fall er- füllt sind. Das hat sie vorliegend zumindest mit Bezug auf den Vorwurf, die Einnahmen der Beschwerdeführerin 1 nicht bzw. ungenügend verbucht zu haben, jedoch unterlassen. Dies führt dazu, dass die Beschwerdekammer die Beschlagnahmeverfügung insbesondere in quantitativer Hinsicht (Ver- hältnismässigkeit) nicht auf ihre Rechtsmässigkeit überprüfen kann.</w:t>
      </w:r>
    </w:p>
    <w:p>
      <w:r>
        <w:rPr>
          <w:b/>
        </w:rPr>
        <w:t>E. 4.4</w:t>
      </w:r>
    </w:p>
    <w:p>
      <w:r>
        <w:t>Die Beschwerde ist daher wegen Verletzung der Begründungspflicht gut- zuheissen und das Verfahren im Sinne der Erwägungen zwecks Erlasses einer zureichend begründeten Beschlagnahme oder Freigabe zurückzu- weisen. Die Beschlagnahme ist bis dahin aufrechtzuerhalten.</w:t>
      </w:r>
    </w:p>
    <w:p>
      <w:r>
        <w:rPr>
          <w:b/>
        </w:rPr>
        <w:t>E. 5</w:t>
      </w:r>
    </w:p>
    <w:p>
      <w:r>
        <w:t>September CHF 98'000.-- sowie am 3. Oktober CHF 47'000.--. Die Beschwerdegegne- rin ist der Ansicht, dass es sich bei den im Mai 2011 vorgenommenen Übertragungen um Einzahlungen des Kapitals der im Juni 2011 gegründe- ten Beschwerdeführerin 1 handeln könne. Bei den anderen Überweisungen bestehe aber der Verdacht, dass es sich um Einnahmen der Beschwerde- führerin 1 handle, die nie in die Geschäftsbuchhaltung eingeflossen seien und demzufolge auch nicht mit der MWST-Verwaltung abgerechnet worden seien. Ferner sei aktenkundig, dass zwischen dem 1. Januar 2012 und dem 9. Mai 2014 über CHF 465'000.-- vom Konto des Beschwerdeführers 2 auf das Bankkonto der Beschwerdeführerin 1 überwiesen worden seien. Schliesslich habe die Beschwerdeführerin 1 eine Kücheneinrichtung erwor- ben, wobei in der Bilanz ein Betrag von CHF 240'542.-- aktiviert und die</w:t>
      </w:r>
    </w:p>
    <w:p>
      <w:r>
        <w:t>- 7 -</w:t>
      </w:r>
    </w:p>
    <w:p>
      <w:r>
        <w:t>Vorsteuern geltend gemacht worden seien. Belegt sei jedoch nur die Hälfte des Erwerbspreises (act. 2 S. 5 f.).</w:t>
      </w:r>
    </w:p>
    <w:p>
      <w:r>
        <w:rPr>
          <w:b/>
        </w:rPr>
        <w:t>E. 5.1</w:t>
      </w:r>
    </w:p>
    <w:p>
      <w:r>
        <w:t>Eine Rückweisung mit offenem Ausgang gilt als Obsiegen der Beschwerde- führer (Urteil des Bundesgerichts 2C_846/2013 vom 28. April 2014, E. 4.1). Bei diesem Ausgang des Verfahrens sind keine Gerichtsgebühren zu erhe- ben (Art. 25 Abs. 4 VStrR i.V.m. Art. 66 Abs. 4 BGG analog [vgl. TPF 2011 25 E. 3]). Die Bundesstrafgerichtskasse hat den zur Hauptsache als obsie-</w:t>
      </w:r>
    </w:p>
    <w:p>
      <w:r>
        <w:t>- 8 -</w:t>
      </w:r>
    </w:p>
    <w:p>
      <w:r>
        <w:t>gend geltenden Beschwerdeführern den geleisteten Kostenvorschuss in der Höhe von Fr. 2'000.-- zurückzuerstatten.</w:t>
      </w:r>
    </w:p>
    <w:p>
      <w:r>
        <w:rPr>
          <w:b/>
        </w:rPr>
        <w:t>E. 5.2</w:t>
      </w:r>
    </w:p>
    <w:p>
      <w:r>
        <w:t>Die Beschwerdegegnerin hat den Beschwerdeführern für ihre Aufwendun- gen im vorliegenden Verfahren eine Parteientschädigung von pauschal Fr. 1'500.-- zu entrichten (Art. 73 StBOG und Art. 5 und 8 Abs. 1 des Reg- lements des Bundesstrafgerichts vom 31. August 2010 über die Kosten, Gebühren und Entschädigungen in Bundesstrafverfahren [BStKR; SR 173.713.162] i.V.m. Art. 25 Abs. 4 VStrR i.V.m. Art. 68 Abs. 1 und 2 BGG analog [vgl. TPF 2011 25 E. 3]).</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