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BV.2014.40 vom 24. Juli 2014</w:t>
      </w:r>
    </w:p>
    <w:p>
      <w:r>
        <w:t>Bundesstrafgericht, 2014-07-24, DE</w:t>
      </w:r>
    </w:p>
    <w:p>
      <w:r>
        <w:rPr>
          <w:b/>
        </w:rPr>
        <w:t xml:space="preserve">Quelle: </w:t>
      </w:r>
      <w:r>
        <w:t>https://mcp.opencaselaw.ch/entscheid/bstger_BV.2014.40</w:t>
      </w:r>
    </w:p>
    <w:p>
      <w:r>
        <w:t>FR: TPF BV.2014.40 du 24 juillet 2014</w:t>
      </w:r>
    </w:p>
    <w:p>
      <w:r>
        <w:t>IT: TPF BV.2014.40 del 24 luglio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Bei der Verfolgung von Widerhandlungen gegen das Verrechnungssteuer- recht findet das Bundesgesetz vom 22. März 1974 über das Verwaltungs- strafrecht (VStrR; SR 313.0) Anwendung. Verfolgende und urteilende Ver- waltungsbehörde ist die ESTV (Art. 67 Abs. 1 VStG).</w:t>
      </w:r>
    </w:p>
    <w:p>
      <w:r>
        <w:rPr>
          <w:b/>
        </w:rPr>
        <w:t>E. 1.2</w:t>
      </w:r>
    </w:p>
    <w:p>
      <w:r>
        <w:t>Gegen Zwangsmassnahmen im Sinne der Art. 45 ff. VStrR und damit zu- sammenhängende Amtshandlungen kann bei der Beschwerdekammer des Bundesstrafgerichts Beschwerde geführt werden (Art. 26 Abs. 1 VStrR i.V.m. Art. 37 Abs. 2 lit. b StBOG). Zur Beschwerde ist berechtigt, wer durch die angefochtene Amtshandlung berührt ist und ein schutzwürdiges Interesse an deren Aufhebung oder Änderung hat (Art. 28 Abs. 1 VStrR). Fällt das aktuelle Interesse des Beschwerdeführers im Verlaufe des Be- schwerdeverfahrens dahin, so wird Letzteres als erledigt erklärt (vgl. hierzu das Urteil des Bundesgerichts 2C_77/2007 vom 2. April 2009, E. 3 m.w.H.).</w:t>
      </w:r>
    </w:p>
    <w:p>
      <w:r>
        <w:rPr>
          <w:b/>
        </w:rPr>
        <w:t>E. 1.3</w:t>
      </w:r>
    </w:p>
    <w:p>
      <w:r>
        <w:t>Durch die Aufhebung eines Teils der angefochtenen Beschlagnahmen ist der Rechtsstreit, diese freigegebenen Vermögenswerte betreffend, gegen- standslos geworden.</w:t>
      </w:r>
    </w:p>
    <w:p>
      <w:r>
        <w:t>- 4 -</w:t>
      </w:r>
    </w:p>
    <w:p>
      <w:r>
        <w:rPr>
          <w:b/>
        </w:rPr>
        <w:t>E. 1.4</w:t>
      </w:r>
    </w:p>
    <w:p>
      <w:r>
        <w:t>Der die beschlagnahmt verbleibenden Vermögenswerte betreffende Rück- zug der Beschwerde beendet den Rechtsstreit ebenfalls, weshalb das Be- schwerdeverfahren auch diesbezüglich als erledigt abzuschreiben ist (vgl. hierzu den Beschluss des Bundesstrafgerichts BV.2011.22 vom 19. Ju- li 2011).</w:t>
      </w:r>
    </w:p>
    <w:p>
      <w:r>
        <w:rPr>
          <w:b/>
        </w:rPr>
        <w:t>E. 2.1</w:t>
      </w:r>
    </w:p>
    <w:p>
      <w:r>
        <w:t>Gemäss Art. 25 Abs. 4 VStrR richtet sich die Kostenpflicht im Beschwerde- verfahren vor der Beschwerdekammer nach Art. 73 StBOG. Art. 73 StBOG verweist seinerseits auf das Reglement des Bundesstrafgerichts vom 31. August 2010 über die Kosten, Gebühren und Entschädigungen in Bun- desstrafverfahren (BStKR; SR 173.713.162). Da dem BStKR jedoch keine Regelung über die Verteilung der Gerichtskosten zu entnehmen ist, ist er- gänzend die Regelung des BGG anzuwenden (TPF 2011 25 E. 3).</w:t>
      </w:r>
    </w:p>
    <w:p>
      <w:r>
        <w:rPr>
          <w:b/>
        </w:rPr>
        <w:t>E. 2.2</w:t>
      </w:r>
    </w:p>
    <w:p>
      <w:r>
        <w:t>Gemäss Art. 62 ff. und Art. 71 BGG i.V.m. Art. 72 BZP ist bei Gegen- standslosigkeit des Verfahrens mit summarischer Begründung auf Grund der Sachlage vor Eintritt des Erledigungsgrundes über die Prozesskosten zu entscheiden.</w:t>
      </w:r>
    </w:p>
    <w:p>
      <w:r>
        <w:t>Aus dem Grundsatz der Verhältnismässigkeit (vgl. Art. 45 Abs. 1 VStrR) folgt, dass eine Beschlagnahme betragsmässig nicht mehr Vermögenswer- te erfassen darf, als mutmasslich der Einziehung unterliegen (vgl. zuletzt den Beschluss des Bundesstrafgerichts BB.2012.185 vom 1. März 2013, E. 3.2 m.w.H.). Vorliegend haben die ursprünglich verfügten Beschlagnah- men das von der Beschwerdegegnerin als notwendig erachtete Haftungs- substrat zur Deckung von allfälligen Nachsteuerforderungen betragsmässig überstiegen. Die Beschwerdegegnerin wurde sich dieses Umstandes of- fensichtlich rasch bewusst und hob in den Tagen nach Erlass der Verfü- gungen einen Teil der Beschlagnahmen wieder auf. Daraus wird ersichtlich, dass die Beschwerde zum Zeitpunkt ihrer Erhebung gute Erfolgschancen aufwies. Demzufolge erwies sich die Gesamtheit der erlassenen Verfü- gungsbeschränkungen wohl als unverhältnismässig. Im Umfang der infolge der Aufhebung der Beschlagnahmen eingetretenen Gegenstandslosigkeit hätten die Beschwerdeführer im Beschwerdeverfahren mit einiger Wahr- scheinlichkeit obsiegt (vgl. hierzu den Entscheid des Bundesstrafgerichts BV.2010.14 vom 25. Oktober 2010, E. 2.2). Die von der Beschwerdegegne- rin gegen einen Zuspruch einer Parteientschädigung ins Feld geführte Ar- gumentation (siehe act. 2, Ziff. 4), wonach eine betragsmässig allenfalls zu umfangmässige Beschlagnahme nicht zu vermeiden war, geht an den an- wendbaren Gesetzesbestimmungen vorbei.</w:t>
      </w:r>
    </w:p>
    <w:p>
      <w:r>
        <w:t>- 5 -</w:t>
      </w:r>
    </w:p>
    <w:p>
      <w:r>
        <w:rPr>
          <w:b/>
        </w:rPr>
        <w:t>E. 2.3</w:t>
      </w:r>
    </w:p>
    <w:p>
      <w:r>
        <w:t>Soweit sich das Beschwerdeverfahren durch Beschwerderückzug teilweise erledigte (vgl. supra E. 1.4), sind die Gerichtskosten den Beschwerdefüh- rern aufzuerlegen (Art. 66 Abs. 1 BGG analog).</w:t>
      </w:r>
    </w:p>
    <w:p>
      <w:r>
        <w:rPr>
          <w:b/>
        </w:rPr>
        <w:t>E. 2.4</w:t>
      </w:r>
    </w:p>
    <w:p>
      <w:r>
        <w:t>Die nach dem Gesagten den Beschwerdeführern aufzuerlegende reduzier- te Gerichtsgebühr ist auf das reglementarisch vorgesehene Minimum von Fr. 200.-- festzusetzen (Art. 25 Abs. 4 VStrR i.V.m. Art. 73 StBOG und Art. 5 und 8 Abs. 1 BStKR).</w:t>
      </w:r>
    </w:p>
    <w:p>
      <w:r>
        <w:rPr>
          <w:b/>
        </w:rPr>
        <w:t>E. 2.5</w:t>
      </w:r>
    </w:p>
    <w:p>
      <w:r>
        <w:t>Die Beschwerdegegnerin hat den Beschwerdeführern für einen Teil ihrer Aufwendungen für das vorliegende Beschwerdeverfahren eine Parteient- schädigung von Fr. 1'000.-- zu entrichten (Art. 25 Abs. 4 VStrR i.V.m. Art. 68 Abs. 1 BGG analog und Art. 10 und 12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