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BV.2014.37 vom 2. September 2014</w:t>
      </w:r>
    </w:p>
    <w:p>
      <w:r>
        <w:t>Bundesstrafgericht, 2014-09-02, DE</w:t>
      </w:r>
    </w:p>
    <w:p>
      <w:r>
        <w:rPr>
          <w:b/>
        </w:rPr>
        <w:t xml:space="preserve">Quelle: </w:t>
      </w:r>
      <w:r>
        <w:t>https://mcp.opencaselaw.ch/entscheid/bstger_BV.2014.37</w:t>
      </w:r>
    </w:p>
    <w:p>
      <w:r>
        <w:t>FR: TPF BV.2014.37 du 2 septembre 2014</w:t>
      </w:r>
    </w:p>
    <w:p>
      <w:r>
        <w:t>IT: TPF BV.2014.37 del 2 settembre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Juni 2014 gleichentags der Schweizerischen Post zu Handen des Bun- desstrafgerichts übergeben wurde (act. 1);</w:t>
      </w:r>
    </w:p>
    <w:p>
      <w:r>
        <w:t>- für die Berechnung der Fristen die Art. 20-24 des VwVG sinngemäss gelten (vgl. Art. 31 VStR i.V.m. BGE 139 IV 246 E. 3.2, in welchem das Bundes- gericht festhält, dass das Entsiegelungsverfahren vor der Beschwerde- kammer des Bundesstrafgerichts kein gerichtliches Verfahren im Sinne von Art. 31 Abs. 2 VStrR sei); demnach die Frist auch dann sogleich zu laufen beginnt, wenn der erste Tag der Frist - wie vorliegend - auf einen Samstag fällt (BERNARD MAITRE/VANESSA THALMANN [KASPAR PLÜSS], in: BERNHARD WALDMANN/PHILIPPE WEISSENBERGER [HRSG.], VwVG, Praxiskommentar zum Bundesgesetz über das Verwaltungsverfahren, Zürich/Basel/Genf 2009, Art. 20 N. 10; gilt auch im Anwendungsbereich der StPO vgl.°BRÜSCHWEILER, Kommentar zur Schweizerischen Strafprozessord- nung, Zürich 2010, Art. 80 N. 1);</w:t>
      </w:r>
    </w:p>
    <w:p>
      <w:r>
        <w:t>- die Dreitagesfrist folglich am 23. Juni 2014 abgelaufen ist und die vorlie- gende Beschwerde somit nicht rechtzeitig erfolgte, weswegen auf diese nicht einzutreten ist;</w:t>
      </w:r>
    </w:p>
    <w:p>
      <w:r>
        <w:t>- die Gerichtskosten bei diesem Ausgang des Verfahrens den Beschwerde- führern unter solidarischer Haftung aufzuerlegen sind (Art. 66 Abs. 1 BGG analog; vgl. TPF 2011 25 E. 3); die Gerichtsgebühr dabei auf Fr. 1'000.-- festzusetzen ist, unter Anrechnung des entsprechenden Betrages aus dem geleisteten Kostenvorschuss von Fr. 2'000.-- (Art. 73 StBOG und Art. 5 und° 8 Abs. 1 des Reglements des Bundesstrafgerichts vom 31. August</w:t>
      </w:r>
    </w:p>
    <w:p>
      <w:r>
        <w:t>2010 über die Kosten, Gebühren und Entschädigungen in Bundesstrafver- fahren [BStKR; SR 173.713.162]); die Bundesstrafgerichtskasse anzuwei- sen ist, den Beschwerdeführern Fr. 1'000.-- zurückzuerstatten.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