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BV.2014.28 vom 10. Juli 2014</w:t>
      </w:r>
    </w:p>
    <w:p>
      <w:r>
        <w:t>Bundesstrafgericht, 2014-07-10, DE</w:t>
      </w:r>
    </w:p>
    <w:p>
      <w:r>
        <w:rPr>
          <w:b/>
        </w:rPr>
        <w:t xml:space="preserve">Quelle: </w:t>
      </w:r>
      <w:r>
        <w:t>https://mcp.opencaselaw.ch/entscheid/bstger_BV.2014.28</w:t>
      </w:r>
    </w:p>
    <w:p>
      <w:r>
        <w:t>FR: TPF BV.2014.28 du 10 juillet 2014</w:t>
      </w:r>
    </w:p>
    <w:p>
      <w:r>
        <w:t>IT: TPF BV.2014.28 del 10 luglio 2014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Art. 57 Abs. 1 SBG besagt, dass bei der Verfolgung von Widerhandlungen gegen das SBG das Bundesgesetz vom 22. März 1974 über das Verwal- tungsstrafrecht (VStrR; SR 313.0) zur Anwendung gelangt. Verfolgende Behörde ist dabei das Sekretariat der ESBK.</w:t>
      </w:r>
    </w:p>
    <w:p>
      <w:r>
        <w:rPr>
          <w:b/>
        </w:rPr>
        <w:t>E. 1.2</w:t>
      </w:r>
    </w:p>
    <w:p>
      <w:r>
        <w:t>Gegen Zwangsmassnahmen im Sinne der Art. 45 ff. VStrR und damit zu- sammenhängende Amtshandlungen kann bei der Beschwerdekammer des Bundesstrafgerichts Beschwerde geführt werden (Art. 26 Abs. 1 VStrR). Die Beschwerde ist innert drei Tagen, nachdem der Beschwerdeführer von der Amtshandlung Kenntnis erhalten hat, bei der zuständigen Behörde schriftlich mit Antrag und kurzer Begründung einzureichen (Art. 28 Abs. 3 VStrR).</w:t>
      </w:r>
    </w:p>
    <w:p>
      <w:r>
        <w:rPr>
          <w:b/>
        </w:rPr>
        <w:t>E. 1.3</w:t>
      </w:r>
    </w:p>
    <w:p>
      <w:r>
        <w:t>Zur Beschwerde ist berechtigt, wer durch die angefochtene Amtshandlung berührt ist und ein schutzwürdiges Interesse an deren Aufhebung oder Än- derung hat (Art. 28 Abs. 1 VStrR). Ein rechtlich geschütztes Interesse bei der Sperrung von Konten liegt in erster Linie beim jeweiligen Kontoinhaber. Der bloss wirtschaftlich an einem Konto Berechtigte ist nur in Ausnahmefäl- len, beispielsweise wenn die juristische Person liquidiert wurde und nicht mehr existiert, beschwerdelegitimiert (vgl. hierzu TPF 2007 158 E. 1.2; Be- schluss des Bundesstrafgerichts BV.2012.41 vom 9. Januar 2013, E. 1.2, jeweils m.w.H.).</w:t>
      </w:r>
    </w:p>
    <w:p>
      <w:r>
        <w:t>Das vorliegend zur Diskussion stehende Konto lautet auf die E. AG, wes- wegen diese beschwerdelegitimiert ist. Dem Beschwerdeführer fehlt hinge- gen die Beschwerdelegitimation; er ist zwar Mitglied des Verwaltungsrates, Einzelunterschriftsberechtigter sowie nach eigenen Angaben Alleinaktionär der E. AG (act. 1.3 und act. 7) und somit mutmasslich wirtschaftlich Be- rechtigter am Konto, was jedoch gemäss oben zitierter Rechtsprechung nicht genügt - es liegt auch kein Ausnahmefall im obgenannten Sinne vor. Folglich ist auf die Beschwerde nicht einzutreten.</w:t>
      </w:r>
    </w:p>
    <w:p>
      <w:r>
        <w:rPr>
          <w:b/>
        </w:rPr>
        <w:t>E. 2</w:t>
      </w:r>
    </w:p>
    <w:p>
      <w:r>
        <w:t>Mit vorliegendem Beschluss wird das Gesuch des Beschwerdeführers um Erteilung der aufschiebenden Wirkung gegenstandslos.</w:t>
      </w:r>
    </w:p>
    <w:p>
      <w:r>
        <w:t>- 4 -</w:t>
      </w:r>
    </w:p>
    <w:p>
      <w:r>
        <w:rPr>
          <w:b/>
        </w:rPr>
        <w:t>E. 3</w:t>
      </w:r>
    </w:p>
    <w:p>
      <w:r>
        <w:t>Die Gerichtskosten sind bei diesem Ausgang des Verfahrens dem Be- schwerdeführer aufzuerlegen (Art. 66 Abs. 1 BGG analog; vgl. TPF 2011 25 E. 3). Die Gerichtsgebühr ist dabei auf Fr. 1'000.-- festzusetzen, unter Anrechnung des geleisteten Kostenvorschusses von Fr. 2'000.-- (Art. 73 StBOG und Art. 5 und 8 Abs. 1 des Reglements des Bundesstrafgerichts vom 31. August 2010 über die Kosten, Gebühren und Entschädigungen in Bundesstrafverfahren [BStKR; SR 173.713.162]). Entsprechend sind dem Beschwerdeführer Fr. 1'000.-- zurückzuerstatten.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