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BV.2014.18 vom 3. Juli 2014</w:t>
      </w:r>
    </w:p>
    <w:p>
      <w:r>
        <w:t>Bundesstrafgericht, 2014-07-03, DE</w:t>
      </w:r>
    </w:p>
    <w:p>
      <w:r>
        <w:rPr>
          <w:b/>
        </w:rPr>
        <w:t xml:space="preserve">Quelle: </w:t>
      </w:r>
      <w:r>
        <w:t>https://mcp.opencaselaw.ch/entscheid/bstger_BV.2014.18</w:t>
      </w:r>
    </w:p>
    <w:p>
      <w:r>
        <w:t>FR: TPF BV.2014.18 du 3 juillet 2014</w:t>
      </w:r>
    </w:p>
    <w:p>
      <w:r>
        <w:t>IT: TPF BV.2014.18 del 3 luglio 2014</w:t>
      </w:r>
    </w:p>
    <w:p>
      <w:pPr>
        <w:pStyle w:val="Heading2"/>
      </w:pPr>
      <w:r>
        <w:t>Regeste</w:t>
      </w:r>
    </w:p>
    <w:p>
      <w:r>
        <w:t>Amtshandlung (Art. 27 Abs. 1 und 3 VStrR).</w:t>
      </w:r>
    </w:p>
    <w:p>
      <w:pPr>
        <w:pStyle w:val="Heading2"/>
      </w:pPr>
      <w:r>
        <w:t>Erwägungen</w:t>
      </w:r>
    </w:p>
    <w:p>
      <w:r>
        <w:rPr>
          <w:b/>
        </w:rPr>
        <w:t>E. 1.1</w:t>
      </w:r>
    </w:p>
    <w:p>
      <w:r>
        <w:t>Für die Widerhandlungen gegen Art. 44 FINMAG sowie gegen Art. 46 und 49 BankG (siehe hierzu Art. 1 Abs. 1 lit. d FINMAG) ist das Bundesgesetz vom 22. März 1974 über das Verwaltungsstrafrecht (VStrR; SR 313.0) an- wendbar, soweit das FINMAG oder die Finanzmarktgesetze gemäss Art. 1 Abs. 1 FINMAG nichts anderes bestimmen (Art. 50 Abs. 1 Satz 1 FIN- MAG). Verfolgende und urteilende Behörde ist das GS-EFD (Art. 50 Abs. 1 Satz 2 FINMAG i.V.m. Art. 3 Abs. 1 und Art. 5 lit. e der Organisationsver- ordnung vom 17. Februar 2010 für das Eidgenössische Finanzdepartement [OV-EFD; SR 172.215.1]).</w:t>
      </w:r>
    </w:p>
    <w:p>
      <w:r>
        <w:rPr>
          <w:b/>
        </w:rPr>
        <w:t>E. 1.2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Währenddem mit der Beschwerde gegen Zwangsmass- nahmen auch die unrichtige oder unvollständige Feststellung des Sachver-</w:t>
      </w:r>
    </w:p>
    <w:p>
      <w:r>
        <w:t>- 4 -</w:t>
      </w:r>
    </w:p>
    <w:p>
      <w:r>
        <w:t>halts und die Unangemessenheit gerügt werden kann (Art. 28 Abs. 2 VStrR), ist die Beschwerde gegen gestützt auf Art. 27 VStrR ergangene Beschwerdeentscheide nur wegen Verletzung von Bundesrecht, ein- schliesslich Überschreitung oder Missbrauch des Ermessens, zulässig (Art. 27 Abs. 3 VStrR).</w:t>
      </w:r>
    </w:p>
    <w:p>
      <w:r>
        <w:rPr>
          <w:b/>
        </w:rPr>
        <w:t>E. 1.3</w:t>
      </w:r>
    </w:p>
    <w:p>
      <w:r>
        <w:t>Vorliegend gibt die Prozessvoraussetzung der Beschwerdelegitimation An- lass zu einer genaueren Überprüfung. Zweifelsohne gegeben ist auf Seiten des Beschwerdeführers die formelle Beschwer, ist er doch mit seinen An- trägen im Beschwerdeverfahren vor der Vorinstanz unterlegen. Betreffend die materielle Beschwer bildet die Abweisung des Antrags des Beschwer- deführers, die kurz zuvor gegen ihn eröffnete Verwaltungsstrafuntersu- chung einzustellen, das ursprüngliche Anfechtungsobjekt. Diesbezüglich ist jedoch zu beachten, dass gegen die Verfahrenseröffnung der Beschwer- deweg nach VStrR nicht offen steht (EICKER/FRANK/ACHERMANN, Verwal- tungsstrafrecht und Verwaltungsstrafverfahrensrecht, Bern 2012, S. 166). Insbesondere stellt die Verfahrenseröffnung keine Verfügung im Sinne von Art. 5 VwVG dar, da sie keine Rechte oder Pflichten begründet, ändert oder aufhebt bzw. keine Feststellung des Bestehens, Nichtbestehens oder des Umfangs von Rechten und Pflichten beinhaltet (vgl. HAURI, Verwaltungs- strafrecht [VStrR], Bern 1998, S. 63 und die dort angegeben Hinweise). Die blosse Eröffnung einer Verwaltungsstrafuntersuchung bewirkt auf Seiten der beschuldigten Person somit keine Beschwer, welche zur beschwerde- weisen Anfechtung der Verfahrenseröffnung notwendig wäre. Dieselben Überlegungen haben denn auch den Gesetzgeber dazu bewogen, die An- fechtbarkeit der Untersuchung eines Strafverfahrens im Rahmen der StPO – unter Vorbehalt einer hier nicht interessierenden Ausnahme – auszu- schliessen (vgl. Art. 300 Abs. 2, Art. 309 Abs. 3 StPO). Ausdrücklich aus- geschlossen ist im Anwendungsbereich der StPO die Beschwerde zudem gegen weitere, auf die Fortsetzung des Verfahrens gerichtete Handlungen wie die Wiederaufnahme (Art. 315 Abs. 2 StPO) und die Anklageerhebung (Art. 324 Abs. 2 StPO; vgl. zur ganzen Thematik das Urteil des Bundesge- richts 1B_657/2012 vom 8. März 2012, E. 2.3.3).</w:t>
      </w:r>
    </w:p>
    <w:p>
      <w:r>
        <w:t>Dieselbe Überlegung muss auch gelten für den Fall, in welchem der von der beschuldigten Person in zeitlicher Hinsicht kurz nach Kenntnisnahme der Verfahrenseröffnung gestellte Antrag auf Einstellung des Verfahrens von der Verwaltungsstrafbehörde abgewiesen wird und diese die eingelei- tete Untersuchung weiterführt. Eine Beschwerde der beschuldigten Person gegen eine solche Abweisung kommt praktisch einer direkten (unzulässi- gen) Anfechtung der Verfahrenseröffnung gleich. Auch in einer solchen Si- tuation erleidet die beschuldigte Person keinerlei aktuellen und konkreten</w:t>
      </w:r>
    </w:p>
    <w:p>
      <w:r>
        <w:t>- 5 -</w:t>
      </w:r>
    </w:p>
    <w:p>
      <w:r>
        <w:t>Nachteil, welcher die zur Beschwerdeführung notwendige materielle Be- schwer und damit die Legitimation zu begründen vermöchte (vgl. auch in Bezug auf die StPO die Urteile des Bundesgerichts 1B_657/2012 vom 8. März 2013, E. 2.3.3; 1B_209/2011 vom 6. September 2011, E. 2; wobei im ersten Fall die Verweigerung einer Sistierung angefochten wurde).</w:t>
      </w:r>
    </w:p>
    <w:p>
      <w:r>
        <w:rPr>
          <w:b/>
        </w:rPr>
        <w:t>E. 1.4</w:t>
      </w:r>
    </w:p>
    <w:p>
      <w:r>
        <w:t>Auf Grund des vorstehend Ausgeführten ergibt sich, dass der Beschwerde- führer keine zur Erhebung der vorliegenden Beschwerde notwendige Legi- timation aufweist. Auf seine Beschwerde kann daher nicht eingetreten wer- den.</w:t>
      </w:r>
    </w:p>
    <w:p>
      <w:r>
        <w:rPr>
          <w:b/>
        </w:rPr>
        <w:t>E. 2</w:t>
      </w:r>
    </w:p>
    <w:p>
      <w:r>
        <w:t>Bei diesem Ausgang des Verfahrens hat der Beschwerdeführer die Ge- richtskosten zu tragen (Art. 66 Abs. 1 BGG analog; vgl. hierzu TPF 2011 25 E. 3). Die Gerichtsgebühr ist auf Fr. 1'000.-- festzusetzen (Art. 25 Abs. 4 VStrR i.V.m. Art. 73 StBOG und Art. 5 und 8 Abs. 1 des Reglements des Bundesstrafgerichts vom 31. August 2010 über die Kosten, Gebühren und Entschädigungen in Bundesstrafverfahren [BStKR; SR 173.713.162]), unter Anrechnung des entsprechenden Betrags am geleisteten Kostenvorschuss in der Höhe von Fr. 2'000.--. Die Bundesstrafgerichtskasse ist anzuweisen, dem Beschwerdeführer Fr. 1'000.--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