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BV.2013.2 vom 13. März 2013</w:t>
      </w:r>
    </w:p>
    <w:p>
      <w:r>
        <w:t>Bundesstrafgericht, 2013-03-13, FR</w:t>
      </w:r>
    </w:p>
    <w:p>
      <w:r>
        <w:rPr>
          <w:b/>
        </w:rPr>
        <w:t xml:space="preserve">Quelle: </w:t>
      </w:r>
      <w:r>
        <w:t>https://mcp.opencaselaw.ch/entscheid/bstger_BV.2013.2</w:t>
      </w:r>
    </w:p>
    <w:p>
      <w:r>
        <w:t>FR: TPF BV.2013.2 du 13 mars 2013</w:t>
      </w:r>
    </w:p>
    <w:p>
      <w:r>
        <w:t>IT: TPF BV.2013.2 del 13 marzo 2013</w:t>
      </w:r>
    </w:p>
    <w:p>
      <w:pPr>
        <w:pStyle w:val="Heading2"/>
      </w:pPr>
      <w:r>
        <w:t>Regeste</w:t>
      </w:r>
    </w:p>
    <w:p>
      <w:r>
        <w:t>Séquestre (art.46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PA);</w:t>
      </w:r>
    </w:p>
    <w:p>
      <w:r>
        <w:t>- les plaignants ont simplement indiqué qu'ils retiraient leur plainte (act. 6);</w:t>
      </w:r>
    </w:p>
    <w:p>
      <w:r>
        <w:t>- dans ces conditions, il y a lieu de considérer les plaignants comme parties qui succombent, au sens de l'art. 63 al. 1 PA (arrêt du Tribunal pénal fédéral RR.2012.161 et les références citées);</w:t>
      </w:r>
    </w:p>
    <w:p>
      <w:r>
        <w:t>- les plaignants doivent en conséquence supporter les frais engagés jusqu'ici, lesquels sont fixés à CHF 300.--, en application des art. 25 al. 4 DPA, 73 LOAP et art. 5 et 8 du règlement du Tribunal pénal fédéral du 31 août 2010 sur les frais, émoluments, dépens et indemnités de la procédure pénale fédérale (RFPPF; RS 173.713.162), mais réputés couverts par l'avance de frais acquittée, le solde leur est restitué.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