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BV.2013.18 vom 11. Februar 2014</w:t>
      </w:r>
    </w:p>
    <w:p>
      <w:r>
        <w:t>Bundesstrafgericht, 2014-02-11, DE</w:t>
      </w:r>
    </w:p>
    <w:p>
      <w:r>
        <w:rPr>
          <w:b/>
        </w:rPr>
        <w:t xml:space="preserve">Quelle: </w:t>
      </w:r>
      <w:r>
        <w:t>https://mcp.opencaselaw.ch/entscheid/bstger_BV.2013.18</w:t>
      </w:r>
    </w:p>
    <w:p>
      <w:r>
        <w:t>FR: TPF BV.2013.18 du 11 février 2014</w:t>
      </w:r>
    </w:p>
    <w:p>
      <w:r>
        <w:t>IT: TPF BV.2013.18 del 11 febbraio 2014</w:t>
      </w:r>
    </w:p>
    <w:p>
      <w:pPr>
        <w:pStyle w:val="Heading2"/>
      </w:pPr>
      <w:r>
        <w:t>Regeste</w:t>
      </w:r>
    </w:p>
    <w:p>
      <w:r>
        <w:t>Beschlagnahme (Art. 46 f. VStrR). Gegenstandslosigkeit. Kosten- und Entschädigungsfolgen.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März 2012, E. 4.2) und die Fotokopien nur mit 50 Rappen pro Stück ver- gütet werden (Art. 13 Abs. 2 lit. e BStKR); in Berücksichtigung dieser Kür-</w:t>
      </w:r>
    </w:p>
    <w:p>
      <w:r>
        <w:t>- 6 -</w:t>
      </w:r>
    </w:p>
    <w:p>
      <w:r>
        <w:t>zungen eine Parteientschädigung von Fr. 1'201.40 (inkl. Auslagen und MwSt.) resultiert.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