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BV.2013.11 vom 15. Oktober 2013</w:t>
      </w:r>
    </w:p>
    <w:p>
      <w:r>
        <w:t>Bundesstrafgericht, 2013-10-15, DE</w:t>
      </w:r>
    </w:p>
    <w:p>
      <w:r>
        <w:rPr>
          <w:b/>
        </w:rPr>
        <w:t xml:space="preserve">Quelle: </w:t>
      </w:r>
      <w:r>
        <w:t>https://mcp.opencaselaw.ch/entscheid/bstger_BV.2013.11</w:t>
      </w:r>
    </w:p>
    <w:p>
      <w:r>
        <w:t>FR: TPF BV.2013.11 du 15 octobre 2013</w:t>
      </w:r>
    </w:p>
    <w:p>
      <w:r>
        <w:t>IT: TPF BV.2013.11 del 15 ottobre 2013</w:t>
      </w:r>
    </w:p>
    <w:p>
      <w:pPr>
        <w:pStyle w:val="Heading2"/>
      </w:pPr>
      <w:r>
        <w:t>Regeste</w:t>
      </w:r>
    </w:p>
    <w:p>
      <w:r>
        <w:t>Amtshandlung (Art. 27 Abs. 1 und 3 VStrR).</w:t>
      </w:r>
    </w:p>
    <w:p>
      <w:pPr>
        <w:pStyle w:val="Heading2"/>
      </w:pPr>
      <w:r>
        <w:t>Erwägungen</w:t>
      </w:r>
    </w:p>
    <w:p>
      <w:r>
        <w:rPr>
          <w:b/>
        </w:rPr>
        <w:t>E. 1.1</w:t>
      </w:r>
    </w:p>
    <w:p>
      <w:r>
        <w:t>Das EFD verfolgt und beurteilt Widerhandlungen gegen Strafbestimmun- gen des Börsengesetzes. Das VStrR ist soweit anwendbar, als BEHG (pri- mär) und FINMAG (subsidiär) nichts anderes bestimmen (Art. 50 Abs. 1 i.V.m. Art. 2 Abs. 1 und Art. 1 Abs. 1 lit. e FINMAG). Für das gerichtliche Verfahren verweist das FINMAG auf die sinngemässe Anwendung der Art. 73–83 VStrR (Art. 50 Abs. 2 FINMAG). Das VStrR weist seinerseits weiter auf die ergänzende Anwendung der Schweizeri- schen Strafprozessordnung vom 5. Oktober 2007 (StPO; SR 312.0; Art. 82 VStrR).</w:t>
      </w:r>
    </w:p>
    <w:p>
      <w:r>
        <w:t>- 4 -</w:t>
      </w:r>
    </w:p>
    <w:p>
      <w:r>
        <w:rPr>
          <w:b/>
        </w:rPr>
        <w:t>E. 1.2</w:t>
      </w:r>
    </w:p>
    <w:p>
      <w:r>
        <w:t>Gegen Amtshandlungen sowie gegen Säumnis des untersuchenden Beam- ten kann gemäss Art. 27 Abs. 1 VStrR beim Direktor oder Chef der beteilig- ten Verwaltung Beschwerde geführt werden. Unter dem Direktor oder Chef der beteiligten Verwaltung sind die Leiter der betreffenden Verwaltungsab- teilung resp. Ämter unterhalb der Departementsstufe zu verstehen. Der Begriff Chef ist dabei als Abteilungschef zu verstehen. Diese Formulierung, dass sowohl beim Direktor als auch beim Chef der beteiligten Verwaltung Beschwerde geführt werden kann, trägt der Dezentralisierung einzelner Verwaltungsbereiche Rechnung (Entscheid des Bundesstrafge- richts BV.2011.26 vom 10. Januar 2012, E. 2.1/2.3; zum Gan- zen EICKER/FRANK/ACHERMANN, Verwaltungsstrafrecht und Verwaltungs- verfahrensrecht, Bern 2012, S. 222–224).</w:t>
      </w:r>
    </w:p>
    <w:p>
      <w:r>
        <w:rPr>
          <w:b/>
        </w:rPr>
        <w:t>E. 1.3</w:t>
      </w:r>
    </w:p>
    <w:p>
      <w:r>
        <w:t>Ein Beschwerdeentscheid im Sinne von Art. 27 Abs. 2 VStrR kann bei der Beschwerdekammer des Bundesstrafgerichts angefochten werden (Art. 27 Abs. 3 VStrR i.V.m. Art. 37 Abs. 2 lit. b StBOG). Zur Beschwerde ist be- rechtigt, wer durch den Beschwerdeentscheid berührt ist und ein schutz- würdiges Interesse an dessen Aufhebung oder Änderung hat (Art. 28 Abs. 1 VStrR). Die Beschwerde gegen einen Beschwerdeentscheid ist in- nert drei Tagen, nachdem dieser dem Beschwerdeführer eröffnet worden ist, schriftlich mit Antrag und kurzer Begründung einzureichen (Art. 28 Abs. 3 VStrR). Im Gegensatz zur Beschwerde gegen Zwangsmassnahmen (Art. 28 Abs. 2 VStrR) können Beschwerdeentscheide nach Art. 27 VStrR nur wegen Verletzung von Bundesrecht, einschliesslich Überschreitung oder Missbrauch des Ermessens, angefochten werden (Art. 27 Abs. 3 VStrR).</w:t>
      </w:r>
    </w:p>
    <w:p>
      <w:r>
        <w:rPr>
          <w:b/>
        </w:rPr>
        <w:t>E. 1.4</w:t>
      </w:r>
    </w:p>
    <w:p>
      <w:r>
        <w:t>Der Beschwerdeentscheid des EFD vom 15. Juli 2013 ist ein taugliches An- fechtungsobjekt. Der Beschwerdeführer ist als Beschuldigter des Strafver- fahrens durch die angefochtene Verfügung beschwert. Er ist zur Be- schwerde legitimiert. Da die Beschwerde auch innert Frist eingereicht wur- de, ist auf sie einzutreten.</w:t>
      </w:r>
    </w:p>
    <w:p>
      <w:r>
        <w:rPr>
          <w:b/>
        </w:rPr>
        <w:t>E. 2.1</w:t>
      </w:r>
    </w:p>
    <w:p>
      <w:r>
        <w:t>Strittig ist die Frage, ob das Verwaltungsstrafverfahren für Einsprache- fristen den Fristenstillstand kenne.</w:t>
      </w:r>
    </w:p>
    <w:p>
      <w:r>
        <w:rPr>
          <w:b/>
        </w:rPr>
        <w:t>E. 2.2</w:t>
      </w:r>
    </w:p>
    <w:p>
      <w:r>
        <w:t>Es ist unbestritten, dass Art. 31 Abs. 1 VStrR für die Berechnung der Fris- ten, die Fristverlängerung und die Wiederherstellung gegen die Folgen der Fristversäumnis vorsieht, dass die Artikel 20–24 des Bundesgesetzes vom 20. Dezember 1968 über das Verwaltungsverfahren (Verwaltungsverfah- rensgesetz, VwVG; SR 172.021) sinngemäss gelten. Gemäss Art. 22a</w:t>
      </w:r>
    </w:p>
    <w:p>
      <w:r>
        <w:t>- 5 -</w:t>
      </w:r>
    </w:p>
    <w:p>
      <w:r>
        <w:t>Abs. 1 lit. c VwVG (Randtitel "Stillstand der Fristen") stehen gesetzliche oder behördliche Fristen, die nach Tagen bestimmt sind, vom 18. Dezember bis und mit dem 2. Januar still. Art. 22a Abs. 2 VwVG nimmt davon Verfahren betreffend aufschiebende Wirkung und andere vorsorgli- che Massnahmen aus.</w:t>
      </w:r>
    </w:p>
    <w:p>
      <w:r>
        <w:rPr>
          <w:b/>
        </w:rPr>
        <w:t>E. 2.3</w:t>
      </w:r>
    </w:p>
    <w:p>
      <w:r>
        <w:t>Beide Parteien weisen darauf hin, dass die Beschwerdekammer bereits einmal in seiner amtlich publizierten Rechtsprechung Gelegenheit hatte, sich mit Art. 22a Abs. 1 VwVG auseinanderzusetzen (Entscheid des Bun- desstrafgerichts BV.2008.10 vom 4. Dezember 2008, E. 1.3.2/1.3.3, publi- ziert als TPF 2008 167). Die Beschwerdekammer führte darin aus, dass der Gesetzgeber bei der Schaffung von Art. 22a VwVG nicht an die Beschwerdeverfahren nach Art. 25 ff. VStrR gedacht habe. Art. 22a VwVG wurde erst rund 16 Jahre nach Inkrafttreten des VStrR erlassen. Nur Absatz 1 von Art. 31 VStrR verweist auf den Fristenstillstand. Beim Be- schwerdeverfahren vor der Beschwerdekammer handelt es sich um ge- richtliche Verfahren im Sinne von 82 VStrR, für welche nach Absatz 2 von Art. 31 VStrR die StPO gilt. Die StPO kennt keinen Fristenstillstand.</w:t>
      </w:r>
    </w:p>
    <w:p>
      <w:r>
        <w:rPr>
          <w:b/>
        </w:rPr>
        <w:t>E. 2.4</w:t>
      </w:r>
    </w:p>
    <w:p>
      <w:r>
        <w:t>Der Entscheid TPF 2008 167 verneinte, dass für das (gerichtliche) Be- schwerdeverfahren ein Fristenstillstand gelte. Die Beschwerdefrist der Art. 27 Abs. 1 und 3 VStrR ist Teil des Beschwerdeverfahrens. Die Einsprachefrist des Art. 67 Abs. 1 VStrR ist demgegenüber Teil des Einspracheverfahrens. Die Einsprache ist das vom Gesetz besonders vorgesehene förmliche Rechtsmittel, mit dem eine Verfügung bei der verfügenden Verwaltungsbe- hörde zwecks Neuüberprüfung angefochten wird. Die Einsprache- möglichkeit liegt im Interesse der Verwaltung, als sie einmal entscheiden kann und dennoch die Möglichkeit hat, den Entscheid nochmals gründlich zu überdenken oder die Verhältnisse abzuklären (EICKER/FRANK/ACHER- MANN, a.a.O., S. 257 f.; MOOR/POLTIER, Droit Administratif II, 3. Aufl., Bern 2011, S. 614 f., 628 f., und insbesondere S. 629–631; vgl. auch Art. 30 Abs. 2 lit. b VwVG). Die Einsprache ist also kein devolutives Rechtsmittel, das die Entscheidungszuständigkeit an eine Rechtsmittelins- tanz übergehen lässt. Während sich die Beschwerde an sich aus dem hie- rarchischen Verwaltungsaufbau ergibt, kommt die Einsprache nur zum Zug, wenn sie ausdrücklich vorgesehen ist. Sie kann dann auch nicht über- sprungen werden (HÄFELIN/MÜLLER/UHLMANN, Allgemeines Verwaltungs- recht, 6. Aufl., Zürich 2010, S. 417 f.; vgl. auch Art. 74 VwVG und Art. 32 Abs. 2 lit. a i.V.m. Art. 33 lit. d des Bundesgesetzes vom 17. Juni 2005 über</w:t>
      </w:r>
    </w:p>
    <w:p>
      <w:r>
        <w:t>- 6 -</w:t>
      </w:r>
    </w:p>
    <w:p>
      <w:r>
        <w:t>das Bundesverwaltungsgericht [Verwaltungsgerichtsgesetz, VGG; SR 173.32]). Die Einsprache ist demnach Teil des Verwaltungsverfahrens. Daran ändert nichts, dass die Verwaltung auf Antrag oder mit Zustimmung des Einspre- chers die Einsprache als Begehren um Beurteilung durch das Strafgericht behandeln kann (Art. 71 VStrR).</w:t>
      </w:r>
    </w:p>
    <w:p>
      <w:r>
        <w:rPr>
          <w:b/>
        </w:rPr>
        <w:t>E. 2.5</w:t>
      </w:r>
    </w:p>
    <w:p>
      <w:r>
        <w:t>Zusammenfassend hat die Rechtsprechung noch nicht geklärt, ob vor der Verwaltung in VStrR-Verfahren ein Fristenstillstand nach Art. 22a VwVG gilt.</w:t>
      </w:r>
    </w:p>
    <w:p>
      <w:r>
        <w:rPr>
          <w:b/>
        </w:rPr>
        <w:t>E. 3.1</w:t>
      </w:r>
    </w:p>
    <w:p>
      <w:r>
        <w:t>Der Beschwerdegegner argumentiert, dass der Fristenstillstand nach Art. 22a VwVG erst nach Schaffung des VStrR geschaffen worden sei, womit fraglich sei, ob ihn der Verweis von Art. 31 Abs. 1 VStrR erfasse. Auch sehe Art. 31 Abs. 1 VStrR nur die sinngemässe Anwendung von Art. 22a VwVG vor (act. 1.2 N. 20). Es bestünden triftige Gründe zur An- nahme, dass ein Fristenstillstand in Verwaltungsstrafverfahren nicht der In- tention des Gesetzgebers entspräche. Angesichts des Beschleunigungs- gebotes wäre er im Verwaltungsstrafrecht ein Fremdkörper. Auch Art. 89 Abs. 2 StPO sehe in Strafverfahren keinen Fristenstillstand vor (act. 1.2 N. 23). Schon aus der Rechtssicherheit ergebe sich, dass hierbei kein Un- terschied gemacht werden könne, ob es sich um ein Verfahren der Verwal- tung oder der Gerichte handle. Es liege im Übrigen weder eine Praxisände- rung vor, noch müsse aus Treu und Glauben auf die Einsprache eingetre- ten werden, noch seien die Voraussetzungen für eine allfällige Wiederher- stellung erfüllt (act. 1.2 N. 26 f.). Für den Beschwerdeführer handelt es sich beim globalen und ausnahmslo- sen Verweis auf das Fristenrecht des VwVG um einen dynamischen Ver- weis, d.h. einen Verweis auf die jeweils aktuelle Fassung (act. 1 S. 8). Es bestehe kein Grund, vom klaren Gesetzeswortlaut von Art. 22a VwVG, wo- nach es einen Fristenstillstand gebe, abzuweichen (act. 1 S. 7–13). Viel- mehr bestünden im Verwaltungsrecht weitgehend einheitliche Stillstands- regeln, weshalb zumindest ein Hinweis der Behörde auf deren Nichtgeltung angezeigt gewesen wäre (act. 1 S. 12). Hätte es sich ferner um ein gesetz- geberisches Versehen gehandelt, so hätten dies die zuständigen Stellen schon längst korrigiert (act. 1 S. 13). Auch die Rechtssicherheit sei nicht tangiert (act. 1 S. 18 f.). Die Einsprache wäre auf jeden Fall aufgrund des Vertrauensprinzips (Praxisänderung ohne genügende Ankündigung) ent-</w:t>
      </w:r>
    </w:p>
    <w:p>
      <w:r>
        <w:t>- 7 -</w:t>
      </w:r>
    </w:p>
    <w:p>
      <w:r>
        <w:t>gegenzunehmen (act. 1 S. 20-23), eventualiter als Begehren um Wieder- herstellung (act. 1 S. 23).</w:t>
      </w:r>
    </w:p>
    <w:p>
      <w:r>
        <w:rPr>
          <w:b/>
        </w:rPr>
        <w:t>E. 3.2</w:t>
      </w:r>
    </w:p>
    <w:p>
      <w:r>
        <w:t>Das Gesetz muss in erster Linie aus sich selbst heraus, das heisst nach dem Wortlaut, Sinn und Zweck und den ihm zu Grunde liegenden Wertun- gen auf der Basis einer teleologischen Verständnismethode ausgelegt wer- den. Die Gesetzesauslegung hat sich vom Gedanken leiten zu lassen, dass nicht schon der Wortlaut die Norm darstellt, sondern erst das an Sachver- halten verstandene und konkretisierte Gesetz. Gefordert ist die sachlich richtige Entscheidung im normativen Gefüge, ausgerichtet auf ein befriedi- gendes Ergebnis der ratio legis. Dabei befolgt das Bundesgericht einen pragmatischen Methodenpluralismus und lehnt es namentlich ab, die ein- zelnen Auslegungselemente einer hierarchischen Prioritätsordnung zu un- terstellen. Insbesondere bei jüngeren Gesetzen sind auch die Gesetzesma- terialien zu beachten, wenn sie auf die streitige Frage eine klare Antwort geben und dem Richter damit weiterhelfen (BGE 138 III 694 E. 2.4; 137 V 167 E. 3.2; 135 III 20 E. 4.4, 135 III 112 E. 3.3.2).</w:t>
      </w:r>
    </w:p>
    <w:p>
      <w:r>
        <w:rPr>
          <w:b/>
        </w:rPr>
        <w:t>E. 3.3</w:t>
      </w:r>
    </w:p>
    <w:p>
      <w:r>
        <w:t>Die Unklarheit ergibt sich vorliegend nicht aus Art. 22a VwVG, sondern aus Art. 31 Abs. 1 VStrR, dessen Wortlaut keine eindeutige Antwort gibt (und zwar in keiner Landessprache). Unklar ist die Tragweite des Verweises und die gemäss Gesetzestext "sinngemässe" Geltung der verwiesenen Nor- men. Auf Letzteres ist zuerst einzugehen.</w:t>
      </w:r>
    </w:p>
    <w:p>
      <w:r>
        <w:rPr>
          <w:b/>
        </w:rPr>
        <w:t>E. 3.4</w:t>
      </w:r>
    </w:p>
    <w:p>
      <w:r>
        <w:t>Eine sinngemässe Anwendung einer Norm kann eine wortgetreue sein, muss aber keine identische, also unterschiedslose Übernahme sein. Als Synonyme für "sinngemäss" bezeichnet der Duden die Ausdrücke frei, dem Sinn nach, nicht wortwörtlich, sinnentsprechend, analog (Duden, Band 8, Synonymwörterbuch, 4. Aufl., Mannheim et al. 2006). Die Verwendung des Ausdrucks "sinngemäss" bei Verweisen entspricht nicht mehr zeitgenössischer Regelungstechnik. Heute soll das Verwei- sungsobjekt grundsätzlich unverändert Anwendung finden; Verweisungs- analogien, ausgedrückt durch die "sinngemässe" oder "entsprechende" Anwendbarerklärung des Verweisungsobjekts, sollen somit nicht verwendet werden (so BUNDESAMT FÜR JUSTIZ, Gesetzgebungsleitfaden, 3. Aufl., Bern 2007, N. 906). Das VStrR verwendet den Ausdruck 23-mal. Jeder Normverweis ist danach sinngemäss zu verstehen. Dadurch soll der Wortlaut der verwiesenen Be- stimmungen an die Situation der Verweisungsnorm angepasst werden (im Allgemeinen zum sog. Analogieschluss vgl. KESHELAVA, Der Methodenplu- ralismus und die Ratio Legis, Diss. Fr., Basel 2012, S. 118–120). Bei- spielsweise verweist Art. 22 Abs. 2 VStrR für die örtliche Zuständigkeit auf</w:t>
      </w:r>
    </w:p>
    <w:p>
      <w:r>
        <w:t>- 8 -</w:t>
      </w:r>
    </w:p>
    <w:p>
      <w:r>
        <w:t>Art. 40 Absatz 2 StPO, wonach uneinige Kantone das Bundesstrafgericht anrufen können. Der sinngemässe Verweis will ausschliessen, dass im VStrR für diese Frage den Kantonen eine Rolle zukomme. Die unter- schiedslose standardisierte Verwendung im VStrR wie auch der Umstand, dass der Ausdruck heute entbehrlich ist, sprechen dagegen, dass durch den Ausdruck eine vollständige inhaltliche Veränderung der verwiesenen Normen beabsichtigt gewesen wäre.</w:t>
      </w:r>
    </w:p>
    <w:p>
      <w:r>
        <w:rPr>
          <w:b/>
        </w:rPr>
        <w:t>E. 3.5</w:t>
      </w:r>
    </w:p>
    <w:p>
      <w:r>
        <w:t>Einzugehen ist nun auf die Frage, ob ein statischer oder dynamischer Ver- weis vorliege. Verweisungen ermöglichen, die Rechtsetzung zu entlasten, Zusammen- hänge herzustellen und Regelungen zu vereinheitlichen. Aussenverwei- sungen erklären Normen eines anderen Erlasses für anwendbar (GEORG MÜLLER, Elemente einer Rechtsetzungslehre, 2. Aufl., Zürich 2006, N. 361, 370). Verweisungen können statisch oder dynamisch sein. Dyna- misch ist die Verweisung, wenn Normen nicht in einer bestimmten, sondern in der jeweils geltenden Fassung als anwendbar erklärt werden. Ob eine dynamische oder eine statische Verweisung vorliegt, ergibt sich in der Re- gel aus dem Wortlaut der Verweisungsnorm, oder ist durch Auslegung zu ermitteln. Massgebend für die Auslegung ist in erster Linie der Sinn und Zweck der Verweisung. Eindeutig ist der Wortlaut nur, wenn auf eine Norm "in der Fassung vom" verwiesen wird (MÜLLER, a.a.O., N. 374 und Fn 739, 740; zum Ganzen BGE 136 I 316 E. 2.4.1; BUNDESAMT FÜR JUSTIZ, Gesetzgebungsleitfaden, a.a.O., N. 892 ff., 895). Der technische, dürre Wortlaut von Art. 31 Abs. 1 VStrR ist hier nur von be- schränktem Wert. Immerhin entspräche aber eine dynamische Verweisung einem Vereinheitlichungsstreben mehr, da sie ausschliesst, dass verwei- sende Erlasse einzelne Revisionsschichten einer Bestimmung verewigen und so auseinanderdriften.</w:t>
      </w:r>
    </w:p>
    <w:p>
      <w:r>
        <w:rPr>
          <w:b/>
        </w:rPr>
        <w:t>E. 3.6</w:t>
      </w:r>
    </w:p>
    <w:p>
      <w:r>
        <w:t>Die Materialien und die Normgeschichte führen nicht weiter. Art. 22a VwVG war bereits verschiedentlich Verfahrensgegenstand. BGE 126 V 119 E. 2c (zum Sozialversicherungsrecht; vgl. auch BGE 132 II 153 E. 3.1) stellte dabei fest: Nach seinem klaren Willen sollte mithin gerade im Bereich der Fristen im Verwal- tungsverfahren vor den Versicherern eine einheitliche und rechtsgleiche Regelung im Sinne eines Mindeststandards gelten. Nach Inkrafttreten des UVG wurde im Zu- sammenhang mit der Teilrevision des Bundesgesetzes über die Organisation der Bundesrechtspflege (OG) vom 4. Oktober 1991, in Kraft seit 15. Februar 1992 (AS 1992 S. 288), neu Art. 22a VwVG über den Stillstand der Fristen ins VwVG</w:t>
      </w:r>
    </w:p>
    <w:p>
      <w:r>
        <w:t>- 9 -</w:t>
      </w:r>
    </w:p>
    <w:p>
      <w:r>
        <w:t>eingefügt und damit erstmals in diesem Gesetz eine Fristenstillstandsregelung ge- troffen. Diese Gesetzesänderung geht auf einen parlamentarischen Vorstoss in Form eines Postulats durch Nationalrätin Josi Meier zurück (Amtl.Bull. 1979 N 352 f.), wonach zum Schutze der Rechtsuchenden für die in bundesrechtlich geordneten Verwal- tungsverfahren vorgesehenen gesetzlichen Fristen ein Stillstand (Gerichtsferien) vorzusehen sei, der zeitlich an die entsprechenden Bestimmungen des OG an- knüpfe. Der Fristenstillstand gab, soweit ersichtlich, nicht zu Diskussion Anlass, weder beim Erlass des VStrR (Amt. Bull. NR 1973 II 451, 476; Amt. Bull. SR 1971 V 844, 847), noch bei der Revision des OG (Amt. Bull. NR 1991 III 1307; Amt. Bull. SR 1991 IV 865), noch bei Erlass der StPO (AB 2007 N 1036; AB 2006 S 1062) und ebensowenig in den jeweiligen Botschaften des Bundesrates (BBl 1971 I 993 zum VStrR; BBl 1991 II 465, 536 OG-Revision; BBl 2005 1085 zur StPO).</w:t>
      </w:r>
    </w:p>
    <w:p>
      <w:r>
        <w:rPr>
          <w:b/>
        </w:rPr>
        <w:t>E. 3.7.1</w:t>
      </w:r>
    </w:p>
    <w:p>
      <w:r>
        <w:t>Sowohl die Systematik innerhalb des VStrR wie die Einbettung einer Norm in der Rechtsordnung kann für die Auslegung massgeblich sein. Jedoch folgt das VStrR als älteres Gesetz nicht notwendigerweise mo- dernen Gliederungsprinzipien (dazu obige Erwägung 3.4 sowie BUNDES- AMT FÜR JUSTIZ, Gesetzgebungsleitfaden, a.a.O., S. 353 ff.). Sodann wur- de seine Lückenhaftigkeit, was die Schnittstelle von Verwaltungsverfahren und gerichtlichem Verfahren betrifft, bereits gerichtlich festgestellt (BGE 116 IV 223 E. 4 betreffend Art. 73 Abs. 1 Satz 2 VStrR und Art. 77 Abs. 4 VStrR; vgl. auch allgemein BGE 119 IV 59 E. 2b/cc zu den oft un- vollständigen und ungenauen Randtiteln). Art. 22a VwVG schuf neue Un- klarheiten (BGE 132 II 153 E. 3.1; 126 V 119 E. 2c; 122 V 65).</w:t>
      </w:r>
    </w:p>
    <w:p>
      <w:r>
        <w:rPr>
          <w:b/>
        </w:rPr>
        <w:t>E. 3.7.2</w:t>
      </w:r>
    </w:p>
    <w:p>
      <w:r>
        <w:t>Immerhin ergibt sich aus Art. 31 VStrR selbst, dass Verwaltungsverfahren und gerichtliches Verfahren (procédure judiciaire, procedura giudiziaria) auseinandergehalten werden. Nach dessen Absatz 2 richten sich die Fris- ten im gerichtlichen Verfahren nach der StPO (somit ohne Fristenstill- stand). Im Umkehrschluss (argumentum e contrario) spricht dies eher da- für, dass in dem in Absatz 1 geregelten Verwaltungsverfahren ein Fristen- stillstand gelten soll.</w:t>
      </w:r>
    </w:p>
    <w:p>
      <w:r>
        <w:rPr>
          <w:b/>
        </w:rPr>
        <w:t>E. 3.7.3</w:t>
      </w:r>
    </w:p>
    <w:p>
      <w:r>
        <w:t>Vorgebracht wird, dass das Verwaltungsstrafverfahren im Gleichlauf mit der StPO auszulegen sei, was gegen die Annahme eines Fristenstillstan- des spreche. VStrR und StPO sind in der Tat verknüpft, gelten doch ge- mäss Art. 2 VStrR die allgemeinen Bestimmungen des Strafgesetzbuches für Taten, die in der Verwaltungsgesetzgebung des Bundes mit Strafe be-</w:t>
      </w:r>
    </w:p>
    <w:p>
      <w:r>
        <w:t>- 10 -</w:t>
      </w:r>
    </w:p>
    <w:p>
      <w:r>
        <w:t>droht sind, soweit das VStrR oder das einzelne Verwaltungsgesetz nichts anderes bestimmen (vgl. auch den Verweis in Art. 82 VStrR). Massgeblich ist indes, dass gemäss Botschaft vom 21. Dezember 2005 zur Vereinheitlichung des Strafprozessordnung der Gesetzgeber das Verwaltungsstrafverfahren bewusst von der Vereinheitlichung ausge- nommen hat (BBl 2006 1085, S. 1086, 1095 f.; Entscheid des Bundes- strafgerichts BV.2008.10 vom 4. Dezember 2008, E. 1.3.3 zur "Weiterfüh- rungsabsicht"). Er hat das VStrR zwar in Hinblick auf die neue StPO an- gepasst, allerdings eben nur partiell und zudem erst vor kurzer Zeit. Bei unterlassener Übernahme von Regelungen aus der StPO kann daher im Regelfall nicht von einer echten Lücke gesprochen werden, sondern es ist qualifiziertes Schweigen anzunehmen (KELLER, Grundrechtskonformität und Tauglichkeit des Verwaltungsstrafrechts als Prozessgesetz, in: Eicker [Hrsg.], Aktuelle Herausforderungen für die Praxis im Verwaltungsstraf- verfahren, Bern 2013, S. 168). Dies umso mehr, als dass Art. 31 Abs. 2 VStrR seine heutige Fassung bei der Revision der StPO erhielt (AS 2010 1881, 2027), Absatz 1 jedoch unangetastet blieb.</w:t>
      </w:r>
    </w:p>
    <w:p>
      <w:r>
        <w:rPr>
          <w:b/>
        </w:rPr>
        <w:t>E. 3.7.4</w:t>
      </w:r>
    </w:p>
    <w:p>
      <w:r>
        <w:t>Als Zwischenfazit ist festzuhalten, dass hier die Gliederung in zwei Absät- ze dafür spricht, dass es im Verwaltungsverfahren – im Gegensatz zum Gerichtsverfahren – einen Fristenstillstand geben soll. Es ist anzuneh- men, dass der Gesetzgeber in bewusster Abweichung von der StPO ei- nen Fristenstillstand im VStrR nicht ausschliessen wollte.</w:t>
      </w:r>
    </w:p>
    <w:p>
      <w:r>
        <w:rPr>
          <w:b/>
        </w:rPr>
        <w:t>E. 3.8.1</w:t>
      </w:r>
    </w:p>
    <w:p>
      <w:r>
        <w:t>Der Zweck (teleologische Auslegung) von Art. 31 VStrR besteht vor allem in einer Vereinheitlichung der Fristberechnung in den verwaltungsrechtli- chen Verfahren des Bundes (CAVELTI, in: Auer/Müller/Schindler [Hrsg.], VwVG-Kommentar, Zürich/St Gallen 2006, Art. 22a N. 1 f.).</w:t>
      </w:r>
    </w:p>
    <w:p>
      <w:r>
        <w:rPr>
          <w:b/>
        </w:rPr>
        <w:t>E. 3.8.2</w:t>
      </w:r>
    </w:p>
    <w:p>
      <w:r>
        <w:t>Dieses Vereinheitlichungsstreben ist in der aktuellen Gesetzgebung nach wie vor ein realistisches, welches der Lauf des Legiferierens nicht illuso- risch machte: Zunächst kennt auch Art. 38 Abs. 4 des Bundesgesetzes vom</w:t>
      </w:r>
    </w:p>
    <w:p>
      <w:r>
        <w:rPr>
          <w:b/>
        </w:rPr>
        <w:t>E. 3.8.3</w:t>
      </w:r>
    </w:p>
    <w:p>
      <w:r>
        <w:t>Immer noch im Bereich des EFD wird ein Fristenstillstand aber auch aus- drücklich ausgeschlossen (BG über das öffentliche Beschaffungswesen [Art. 26 Abs. 2; SR 172.056.1]) sowie für öffentliche Kaufangebote nach BEHG [Art. 33b Abs. 4, Art. 33c, Art. 33d Abs. 3; SR 954.1]). Sodann sieht das Steueramtshilfegesetz (Art. 5 Abs. 3; SR 672.5) keinen Fristen- stillstand vor, wobei dies durch die Nähe zum Rechtshilfeverfahren be- dingt sein wird (vgl. Art. 12 Abs. 2 IRSG; SR 351.1). Nach einem zwischenzeitlichen Auseinanderklaffen stimmen die Rege- lungen des (heutigen) Art. 46 BGG und Art. 22a VwVG wieder überein (vgl. BGE 132 II 153 E. 4.2).</w:t>
      </w:r>
    </w:p>
    <w:p>
      <w:r>
        <w:rPr>
          <w:b/>
        </w:rPr>
        <w:t>E. 3.8.4</w:t>
      </w:r>
    </w:p>
    <w:p>
      <w:r>
        <w:t>Schliesslich sind spezifisch strafrechtliche Zwecke zu beachten:</w:t>
      </w:r>
    </w:p>
    <w:p>
      <w:r>
        <w:t>- 12 -</w:t>
      </w:r>
    </w:p>
    <w:p>
      <w:r>
        <w:t>Gemäss Beschwerdegegner soll das Beschleunigungsgebot einen Fris- tenstillstand in Strafverfahren ausschliessen (weniger absolut: Entscheid des Bundesstrafgerichts BV.2008.10 vom 4. Dezember 2008, E. 1.3.3). Das Gebot soll jedoch zugunsten Angeschuldigter vermeiden, dass diese überlang einem strafrechtlichen Verdacht ausgesetzt werden (Art. 29 Abs. 1 BV; Art. 6 Abs. 1 EMRK; BGE 130 IV 54 E. 3.3.1; Urteil des Bun- desgerichts 6B_348/2013 vom 12. Juli 2013, E. 2.1; MEYER-LADEWIG, Handkommentar EMRK, 3. Aufl., Baden-Baden 2011, N. 196). Das Prin- zip würde damit nur entfremdet (Art. 18 EMRK), hat es doch der Beschul- digte in der Hand, sein Verfahren nicht zu verlängern. Der Abschluss von Verwaltungsstrafverfahren insgesamt wird dadurch nicht zwingend we- sentlich verzögert. Im Übrigen macht es Sinn, wenn Verwaltungsverfahren und Verwaltungs- strafverfahren den gleichen Regeln folgen, nicht zuletzt weil mit dem Strafverfahren ein Entscheid über eine Leistungspflicht verknüpft sein kann (Art. 69 Abs. 2 VStrR; Art. 70 Abs. 1 VStrR).</w:t>
      </w:r>
    </w:p>
    <w:p>
      <w:r>
        <w:rPr>
          <w:b/>
        </w:rPr>
        <w:t>E. 3.9</w:t>
      </w:r>
    </w:p>
    <w:p>
      <w:r>
        <w:t>Zusammenfassend ist die vom Gesetzgeber ursprünglich gehegte Ver- einheitlichungsabsicht nach wie vor eine aktuelle. Dem kann nur ein Ver- ständnis von Art. 31 Abs. 1 VStrR als ein dynamischer Verweis auf die ak- tuelle Fassung gerecht werden. Wird in begründeten Fällen vom Fristen- stillstand abgewichen, so erfolgt dies ausdrücklich. Der Grundsatz des Fristenstillstands im Verwaltungsverfahren erlitte durch die Ausnahme des VStrR eine empfindliche Einschränkung. Strafrechtliche Erwägungen ge- bieten nicht, eine solche Einschränkung in Kauf zu nehmen. Daraus folgt, dass für Einsprachen gegen Strafbescheide nach Art. 62 ff. VStrR der Fristenstillstand (Gerichtsferien) gemäss Art. 22a Abs. 1 lit. c VwVG An- wendung findet.</w:t>
      </w:r>
    </w:p>
    <w:p>
      <w:r>
        <w:rPr>
          <w:b/>
        </w:rPr>
        <w:t>E. 3.10</w:t>
      </w:r>
    </w:p>
    <w:p>
      <w:r>
        <w:t>Das Auslegungsergebnis bedeutet für den vorliegenden Fall: Der Be- schwerdeführer erhielt den Strafbescheid vom 14. Dezember 2012 am Montag, dem 17. Dezember 2012 (Untersuchungsakten S. 090 0005). Die Frist von 30 Tagen begann demnach am 18. Dezember 2012 zu laufen (Art. 67 Abs. 1 VStrR i.V.m. Art. 20 Abs. 1 VwVG). Indessen stehen nach Tagen bestimmte Fristen "vom 18. Dezember bis und mit dem 2. Januar" still (Art. 22a Abs. 1 lit. c VwVG). Ein Ausnahme- fall ist nicht gegeben (vgl. BGE 138 IV 186 E. 1.2 f. zum im Wesentlichen gleichlautenden Art. 46 BGG). Für die Rechtmässigkeit einer Mitteilung nach VwVG ist ohne Belang, ob sie während eines Fristenstillstandes oder zuvor erfolgt (BGE 131 V 305 E. 4.2, 4.2.3). Bei der Zustellung einer Verfügung während des Fristenstillstands nach Art. 22a VwVG gilt der</w:t>
      </w:r>
    </w:p>
    <w:p>
      <w:r>
        <w:t>- 13 -</w:t>
      </w:r>
    </w:p>
    <w:p>
      <w:r>
        <w:t>erste Tag nach dem Ende des Stillstands als erster zählender Tag für die Beschwerdefrist (BGE 132 II 153 E. 4.1). Die Zustellung erfolgte zwar am letzten Tag vor dem Stillstand (17. Dezember), doch stand die Frist mit und ab ihrer Auslösung (18. Dezember) still. Der erste Tag des Fristenlaufes ist somit der Don- nerstag, 3. Januar 2013. Die Einsprache vom 30. Januar 2013 trägt den Poststempel des gleichen Datums (so Untersuchungsakten S. 100 0001 Verfügung vom 14. Februar 2013, S. 2). Sie ist damit offenkundig inner- halb der Einsprachefrist von 30 Tagen (Art. 67 Abs. 1 VStrR) und damit fristgerecht erhoben.</w:t>
      </w:r>
    </w:p>
    <w:p>
      <w:r>
        <w:rPr>
          <w:b/>
        </w:rPr>
        <w:t>E. 3.11</w:t>
      </w:r>
    </w:p>
    <w:p>
      <w:r>
        <w:t>Ist die fristgerecht erhobene Einsprache vom 30. Januar 2013 an die Hand zu nehmen, erfolgten die Nichteintretensverfügung vom 14. Februar 2013 und der sie schützende Beschwerdeentscheid vom 15. Juli 2013 zu Unrecht. Diese sind demnach antragsgemäss aufzuhe- ben (Antrag 1, in obenstehender Erwägung E).</w:t>
      </w:r>
    </w:p>
    <w:p>
      <w:r>
        <w:t>4. Insgesamt obsiegt der Beschwerdeführer vollumfänglich, was zur Gut- heissung seiner Beschwerde führt.</w:t>
      </w:r>
    </w:p>
    <w:p>
      <w:r>
        <w:t>5.</w:t>
      </w:r>
    </w:p>
    <w:p>
      <w:r>
        <w:t>5.1 Bei diesem Ausgang des Verfahrens sind keine Gerichtsgebühren zu er- heben (Art. 423 Abs. 1 StPO i.V.m. Art. 97 Abs. 1 VStrR). 5.2 Das Gericht entscheidet über die Entschädigung für Nachteile (so Art. 99 VStrR) und zwar auch für das Verfahren vor der Verwaltung (Art. 101 Abs. 1 VStrR). Der Beschwerdeführer reichte keine Kostennote ein und der Beschwer- degegner konnte sich zu den beantragten Entschädigungsfolgen äussern (Art. 101 Abs. 2 VStrR, obige Erwägung E). Der Beschwerdeführer musste, verursacht auch durch die unzutreffende Rechtsmittelbelehrung in der Verfügung vom 14. Februar 2013, drei ver- schiedene Verfahren führen (obige Erwägungen B–E: Begehren um ge- richtliche Beurteilung an die Strafkammer, Verwaltungsbeschwerde, vor- liegende Beschwerde). Der Beschwerdegegner hat dem Beschwerdefüh- rer für seine Aufwendungen in den vorliegenden Verfahren eine Partei- entschädigung von pauschal Fr. 2'500.-- zu entrichten (Art. 73 StBOG und Art. 5 und 8 Abs. 1 des Reglements des Bundesstrafgerichts vom 31. August 2010 über die Kosten, Gebühren und Entschädigungen in</w:t>
      </w:r>
    </w:p>
    <w:p>
      <w:r>
        <w:t>- 14 -</w:t>
      </w:r>
    </w:p>
    <w:p>
      <w:r>
        <w:t>Bundesstrafverfahren [BStKR; SR 173.713.162] i.V.m. Art. 25 Abs. 4 VStrR).</w:t>
      </w:r>
    </w:p>
    <w:p>
      <w:r>
        <w:rPr>
          <w:b/>
        </w:rPr>
        <w:t>E. 6</w:t>
      </w:r>
    </w:p>
    <w:p>
      <w:r>
        <w:t>Während ein gerichtlicher Entscheid nur die Verfahrensparteien bindet, sind die Regeln über den Fristenstillstand im VStrR für Strafverfahren ver- schiedener Bundesbehörden relevant. Die Beschwerdekammer vertraut darauf, dass das EFD den anonymisierten Entscheid (erhältlich via die Entscheiddatenbank auf www.bstger.ch) den betroffenen Stellen zur Kenntnis bringt.</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