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BV.2012.14 vom 6. Dezember 2012</w:t>
      </w:r>
    </w:p>
    <w:p>
      <w:r>
        <w:t>Bundesstrafgericht, 2012-12-06, DE</w:t>
      </w:r>
    </w:p>
    <w:p>
      <w:r>
        <w:rPr>
          <w:b/>
        </w:rPr>
        <w:t xml:space="preserve">Quelle: </w:t>
      </w:r>
      <w:r>
        <w:t>https://mcp.opencaselaw.ch/entscheid/bstger_BV.2012.14</w:t>
      </w:r>
    </w:p>
    <w:p>
      <w:r>
        <w:t>FR: TPF BV.2012.14 du 6 décembre 2012</w:t>
      </w:r>
    </w:p>
    <w:p>
      <w:r>
        <w:t>IT: TPF BV.2012.14 del 6 dicembre 2012</w:t>
      </w:r>
    </w:p>
    <w:p>
      <w:pPr>
        <w:pStyle w:val="Heading2"/>
      </w:pPr>
      <w:r>
        <w:t>Regeste</w:t>
      </w:r>
    </w:p>
    <w:p>
      <w:r>
        <w:t>Geheimhaltungspflicht (Art. 26 Abs. 1 VStrR).</w:t>
      </w:r>
    </w:p>
    <w:p>
      <w:pPr>
        <w:pStyle w:val="Heading2"/>
      </w:pPr>
      <w:r>
        <w:t>Erwägungen</w:t>
      </w:r>
    </w:p>
    <w:p>
      <w:r>
        <w:rPr>
          <w:b/>
        </w:rPr>
        <w:t>E. 1</w:t>
      </w:r>
    </w:p>
    <w:p>
      <w:r>
        <w:t>Widerhandlungen gegen das Zollgesetz werden nach diesem und nach dem VStrR beurteilt. Verfolgende und urteilende Behörde ist die Beschwer- degegnerin (Art. 128 ZG). Hinsichtlich der Widerhandlungen gegen das Mehrwertsteuergesetz sowie gegen das Automobilsteuergesetz ergeben sich die Anwendbarkeit des VStrR und die Zuständigkeit der Beschwerde- gegnerin aus Art. 103 Abs. 1 und 2 MWSTG und aus Art. 40 AStG.</w:t>
      </w:r>
    </w:p>
    <w:p>
      <w:r>
        <w:t>- 4 -</w:t>
      </w:r>
    </w:p>
    <w:p>
      <w:r>
        <w:rPr>
          <w:b/>
        </w:rPr>
        <w:t>E. 2.1</w:t>
      </w:r>
    </w:p>
    <w:p>
      <w:r>
        <w:t>Gegen Zwangsmassnahmen im Sinne der Art. 45 ff. VStrR und damit zu- sammenhängende Amtshandlungen kann bei der Beschwerdekammer des Bundesstrafgerichts Beschwerde geführt werden (Art. 26 Abs. 1 VStrR). Zur Beschwerde ist berechtigt, wer durch die angefochtene Amtshandlung berührt ist und ein schutzwürdiges Interesse an deren Aufhebung oder Än- derung hat (Art. 28 Abs. 1 VStrR). Mit der Beschwerde kann die Verletzung von Bundesrecht, die unrichtige oder unvollständige Feststellung des rechtserheblichen Sachverhalts oder die Unangemessenheit gerügt werden (Art. 28 Abs. 2 VStrR). Die Beschwerde ist innert drei Tagen, nachdem der Beschwerdeführer von der Amtshandlung Kenntnis hat, bei der zuständi- 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 handlung nicht im Sinne der gestellten Anträge, hat er die Beschwerde mit seiner Äusserung spätestens am dritten Werktag nach ihrem Eingang an die Beschwerdekammer weiterzuleiten (Art. 26 Abs. 3 VStrR).</w:t>
      </w:r>
    </w:p>
    <w:p>
      <w:r>
        <w:rPr>
          <w:b/>
        </w:rPr>
        <w:t>E. 2.2</w:t>
      </w:r>
    </w:p>
    <w:p>
      <w:r>
        <w:t>Die Beschwerde richtet sich hauptsächlich gegen die Aufforderung zur Herausgabe von Unterlagen, die ein Konto betreffen, über welches vermut- lich die vom Verwaltungsstrafverfahren betroffenen Gesellschaften bei der Beschwerdeführerin verfügen. Die Beschwerdeführerin rügt insbesondere die ungenügende Begründung und die mangelnde Darstellung des Sach- verhalts der entsprechenden Editionsverfügung (act. 1, S. 3).</w:t>
      </w:r>
    </w:p>
    <w:p>
      <w:r>
        <w:t>Diesbezüglich ist festzuhalten, dass der Beschwerdeführerin – entgegen der diesbezüglich unzutreffenden Rechtsmittelbelehrung – gegen die Editi- onsaufforderung von Beginn weg grundsätzlich keine Beschwerdemöglich- keit zustand. Sie war aber berechtigt, gegen die Durchsuchung der Unter- lagen durch die Beschwerdegegnerin Einsprache im Sinne von Art. 50 Abs. 3 VStrR zu erheben und im Hinblick auf eine beabsichtigte Durchsu- chung die Unterlagen versiegelt einzureichen (siehe hierzu den Beschluss des Bundesstrafgerichts BV.2011.5 vom 22. März 2011; Entscheid des Bundesstrafgerichts BV.2008.7 vom 14. Juli 2008, E. 1.2 – 1.4; jeweils m.w.H.).</w:t>
      </w:r>
    </w:p>
    <w:p>
      <w:r>
        <w:t>Die die Editionsaufforderung betreffende Rechtsmittelbelehrung am Ende der angefochtenen Verfügung, wonach die Möglichkeit der Beschwerde nach Art. 27 VStrR offen stehe (act. 1.2, S. 2), erweist sich demnach als in- haltlich unzutreffend. Diese Tatsache ist bei der Verlegung der Verfahrens- kosten zu berücksichtigen. Es ist anzumerken, dass – sofern notwendig –</w:t>
      </w:r>
    </w:p>
    <w:p>
      <w:r>
        <w:t>- 5 -</w:t>
      </w:r>
    </w:p>
    <w:p>
      <w:r>
        <w:t>eine Anpassung der Rechtsmittelbelehrungen bei Editionsaufforderungen vorzunehmen ist, wonach gegen die Edition bzw. die Durchsuchung von Papieren anstelle der Beschwerde unverzüglich Einsprache erhoben und die Siegelung der Papiere verlangt werden könne und in diesem Fall die Beschwerdekammer über die Zulässigkeit der Durchsuchung entscheide (vgl. hierzu den Entscheid des Bundesstrafgerichts BV.2008.7 vom 14. Ju- li 2008, E. 1.5).</w:t>
      </w:r>
    </w:p>
    <w:p>
      <w:r>
        <w:rPr>
          <w:b/>
        </w:rPr>
        <w:t>E. 3</w:t>
      </w:r>
    </w:p>
    <w:p>
      <w:r>
        <w:t>Nach dem Gesagten konnte auf die Beschwerde von Beginn weg nur inso- weit eingetreten werden, als mit ihr die der Beschwerdeführerin auferlegte Geheimhaltungspflicht gegenüber den Kontoinhabern bzw. den Verfü- gungsberechtigten angefochten wurde. Ein solches Mitteilungsverbot stellt eine strafprozessuale Zwangsmassnahme dar (Urteil des Bundesgerichts 1S.11/2005 vom 25. Juli 2005, E. 1.3). Die Beschwerdeführerin war als Adressatin der Verfügung insofern beschwert, als ihr damit ein bestimmtes Verhalten unter Strafandrohung verboten wurde (Entscheid des Bundes- strafgerichts BK_B 139/04 vom 24. Januar 2005, E. 1.2). Die auferlegte Geheimhaltungspflicht galt jedoch nur bis zum 31. Mai 2012, weshalb dies- bezüglich das aktuelle praktische Interesse an der Beschwerdeführung mit Ablauf dieser Frist wegfiel und der Rechtsstreit somit gegenstandslos wur- de. In Anwendung von Art. 25 Abs. 4 VStrR i.V.m. Art. 62 ff. und 71 BGG analog (vgl. hierzu TPF 2011 25 E. 3) i.V.m. Art. 72 BZP ist bei Gegen- standslosigkeit das Verfahren als erledigt abzuschreiben. Gemäss densel- ben Gesetzesbestimmungen ist mit summarischer Begründung auf Grund der Sachlage vor Eintritt des Erledigungsgrundes über die Prozesskosten zu entscheiden.</w:t>
      </w:r>
    </w:p>
    <w:p>
      <w:r>
        <w:rPr>
          <w:b/>
        </w:rPr>
        <w:t>E. 4.1</w:t>
      </w:r>
    </w:p>
    <w:p>
      <w:r>
        <w:t>Eine strafprozessuale Informationssperre dient der ungestörten Abklärung von mutmasslichen Delikten bei drohender Kollusionsgefahr. Soweit da- durch verfassungsmässige Individualrechte tangiert werden, gelten diesbe- züglich die allgemeinen Eingriffsvorbehalte von Art. 36 BV (BGE 131 I 425 E. 5.2).</w:t>
      </w:r>
    </w:p>
    <w:p>
      <w:r>
        <w:rPr>
          <w:b/>
        </w:rPr>
        <w:t>E. 4.2</w:t>
      </w:r>
    </w:p>
    <w:p>
      <w:r>
        <w:t>Das VStrR enthält – anders als Art. 73 Abs. 2 StPO – keine Bestimmung, welche eine den Verfahrensbeteiligten aufzuerlegende Geheimhaltungs- pflicht ausdrücklich vorsieht. Das Bundesgericht hat jedoch festgehalten, dass sachlich notwendige und zeitlich limitierte Informationssperren gegen- über Banken grundsätzlich keinen besonders empfindlichen Eingriff in die verfassungsrechtlich geschützte Kommunikations- und Wirtschaftsfreiheit</w:t>
      </w:r>
    </w:p>
    <w:p>
      <w:r>
        <w:t>- 6 -</w:t>
      </w:r>
    </w:p>
    <w:p>
      <w:r>
        <w:t>darstellen. Das vorläufige Verbot, Ermittlungsgeheimnisse an Kunden und Dritte weiterzuleiten, hindere die betroffene Bank grundsätzlich nicht daran, im Rahmen ihrer gesetzlichen und vertraglichen Pflichten legale Bankge- schäfte und Kundenbetreuungen durchzuführen (BGE 131 I 425 E. 6.3). Solche Informationssperren bedürfen daher keiner formellgesetzlichen Grundlage (Art. 36 Abs. 1 Satz 2 BV e contrario). Im zitierten Entscheid hielt das Bundesgericht die Generalklausel von Art. 101 Abs. 2 des bis zum 31. Dezember 2010 im Rahmen von Bundesstrafverfahren anwendbaren Bundesgesetzes über die Bundesstrafrechtspflege vom 15. Juni 1934 als gesetzliche Grundlage für ausreichend. Diese Bestimmung sah vor, dass der Bundesanwalt und die gerichtliche Polizei im Ermittlungsverfahren die zur Feststellung der Täterschaft und des wesentlichen Sachverhalts sowie die zur Sicherung der Tatspuren und Beweise erforderlichen Ermittlungs- handlungen vornehmen und die unaufschiebbaren weiteren Massnahmen treffen sollten.</w:t>
      </w:r>
    </w:p>
    <w:p>
      <w:r>
        <w:t>Gemäss Art. 37 Abs. 1 VStrR erforscht der untersuchende Beamte der be- teiligten Verwaltung den Sachverhalt und sichert den Beweis. Dazu kann er unter anderem Auskünfte einholen (Art. 40 VStrR), Zeugen einvernehmen (Art. 41 VStrR) oder Zwangsmassnahmen (Art. 45 ff. VStrR), wie z.B. eine Beschlagnahme, anordnen. Eine Informationssperre sichert, wie bereits erwähnt, eine ungestörte Untersuchung und verhindert eine potentielle Kol- lusion. Als milderes Mittel im Vergleich zu einer einem schweren Grund- rechtseingriff gleichkommenden Zwangsmassnahme findet sie mithin im vom VStrR vorgesehen allgemeinen Untersuchungsgrundsatz eine genü- gende gesetzliche Grundlage.</w:t>
      </w:r>
    </w:p>
    <w:p>
      <w:r>
        <w:rPr>
          <w:b/>
        </w:rPr>
        <w:t>E. 4.3</w:t>
      </w:r>
    </w:p>
    <w:p>
      <w:r>
        <w:t>Das öffentliche Interesse an einer ungestörten und lückenlosen Aufklärung von Straftaten ist offensichtlich (BGE 131 I 425 E. 6.3). Die Beschwerde- führerin macht vorliegend keine privaten Interessen geltend, welche das genannte öffentliche Interesse überwiegen könnten. Sie beschränkt sich darauf, allgemeine Rügen und Vermutungen gegen die Informationssperre zu formulieren (act. 1, S. 4; act. 5, S. 7 f.).</w:t>
      </w:r>
    </w:p>
    <w:p>
      <w:r>
        <w:rPr>
          <w:b/>
        </w:rPr>
        <w:t>E. 4.4</w:t>
      </w:r>
    </w:p>
    <w:p>
      <w:r>
        <w:t>Allgemein wird unter dem Gesichtspunkt der Verhältnismässigkeit verlangt, dass die gewählte Massnahme zur Verwirklichung des im öffentlichen Inte- resse liegenden Ziels geeignet und erforderlich ist. Ausserdem muss der angestrebte Zweck in einem vernünftigen Verhältnis zu den eingesetzten Mitteln stehen (Beschluss des Bundesstrafgerichts BV.2011.14 vom 16. November 2011, E. 2.2). Eine Informationssperre ist grundsätzlich ge- eignet, allfällige Kollusionshandlungen zu verhindern und damit die unge- störte Aufklärung von Straftaten zu ermöglichen.</w:t>
      </w:r>
    </w:p>
    <w:p>
      <w:r>
        <w:t>- 7 -</w:t>
      </w:r>
    </w:p>
    <w:p>
      <w:r>
        <w:t>Die Beschwerdegegnerin hält in der angefochtenen Verfügung fest, dass gegen die oben genannten Gesellschaften eine Strafuntersuchung wegen des Verdachts der Widerhandlungen gegen das ZG, das MWSTG und das AStG durchgeführt werde (act. 1.2). Sie schreibt zudem, dass die Vermu- tung bestehe, wonach die betroffenen Firmen über ein Konto bei der Be- schwerdegegnerin verfügten. Über dieses Konto sei möglicherweise der Zahlungsverkehr, welcher im Zusammenhang mit den mutmasslich began- genen Widerhandlungen stehe, abgewickelt worden. Die entsprechenden Kontounterlagen kämen daher als potentielle Beweismittel in Betracht. Das Vorbringen der Beschwerdeführerin, wonach die angefochtene Verfügung gar nicht begründet sei (act. 5, S. 4), ist insofern nicht zutreffend.</w:t>
      </w:r>
    </w:p>
    <w:p>
      <w:r>
        <w:t>Die Beschwerdegegnerin ist im Rahmen einer Hausdurchsuchung bei den beschuldigten Gesellschaften auf das vorliegend interessierende Bankkon- to gestossen. Ihr war im Zeitpunkt des Erlasses der Editionsverfügung in- des nicht genau bekannt, wer Inhaber dieses Bankkontos war. Die der Be- schwerdeführerin hierbei auferlegte Geheimhaltungspflicht sollte verhin- dern, dass allenfalls noch nicht involvierte Personen Kenntnis vom laufen- den Verwaltungsstrafverfahren erlangten (act. 2, S. 7). Aufgrund der Sach- lage erscheint es möglich, dass von den Beschuldigten verheimlichte Zah- lungen auf das erwähnte Konto getätigt wurden. Sollte dies zutreffen, könn- ten die entsprechenden Kontounterlagen als Beweismittel von Bedeutung sein und müssten beschlagnahmt werden (Art. 46 Abs. 1 lit. a VStrR). Ebenso denkbar ist, dass die sich auf dem Konto befindenden Vermö- genswerte voraussichtlich der Einziehung und damit auch einer diese si- chernden Beschlagnahme unterliegen (Art. 46 Abs. 1 lit. b VStrR). Die zeit- lich auf lediglich etwas mehr als zwei Monate begrenzte Informationssperre ist geeignet, eine potentielle Kollusion zu verhindern und stellt im Vergleich zur sofortigen Beschlagnahme eine mildere Massnahme dar. Sie ist daher als verhältnismässig anzusehen.</w:t>
      </w:r>
    </w:p>
    <w:p>
      <w:r>
        <w:rPr>
          <w:b/>
        </w:rPr>
        <w:t>E. 4.5</w:t>
      </w:r>
    </w:p>
    <w:p>
      <w:r>
        <w:t>Nach dem Gesagten hätte sich die Beschwerde gegen die der Beschwer- deführerin auferlegte Geheimhaltungspflicht zum Zeitpunkt der Eintritt der Gegenstandslosigkeit des Beschwerdeverfahrens als unbegründet erwie- sen.</w:t>
      </w:r>
    </w:p>
    <w:p>
      <w:r>
        <w:t>- 8 -</w:t>
      </w:r>
    </w:p>
    <w:p>
      <w:r>
        <w:rPr>
          <w:b/>
        </w:rPr>
        <w:t>E. 5</w:t>
      </w:r>
    </w:p>
    <w:p>
      <w:r>
        <w:t>Bei diesem Ausgang des Verfahrens hat die Beschwerdeführerin als unter- liegende Partei die Gerichtskosten zu tragen (Art. 25 Abs. 4 VStrR i.V.m. Art. 66 Abs. 1 BGG analog). Aufgrund der teilweise fehlerhaften Rechtsmit- telbelehrung der angefochtenen Verfügung (vgl. oben E. 2.2) ist die Ge- richtsgebühr auf Fr. 750.-- zu reduzieren (Art. 5 und 8 Abs. 1 des Regle- ments des Bundesstrafgerichts vom 31. August 2010 über die Kosten, Ge- 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