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BV.2012.13 vom 24. April 2012</w:t>
      </w:r>
    </w:p>
    <w:p>
      <w:r>
        <w:t>Bundesstrafgericht, 2012-04-24, FR</w:t>
      </w:r>
    </w:p>
    <w:p>
      <w:r>
        <w:rPr>
          <w:b/>
        </w:rPr>
        <w:t xml:space="preserve">Quelle: </w:t>
      </w:r>
      <w:r>
        <w:t>https://mcp.opencaselaw.ch/entscheid/bstger_BV.2012.13</w:t>
      </w:r>
    </w:p>
    <w:p>
      <w:r>
        <w:t>FR: TPF BV.2012.13 du 24 avril 2012</w:t>
      </w:r>
    </w:p>
    <w:p>
      <w:r>
        <w:t>IT: TPF BV.2012.13 del 24 aprile 2012</w:t>
      </w:r>
    </w:p>
    <w:p>
      <w:pPr>
        <w:pStyle w:val="Heading2"/>
      </w:pPr>
      <w:r>
        <w:t>Regeste</w:t>
      </w:r>
    </w:p>
    <w:p>
      <w:r>
        <w:t>Révision (art. 88 al. 4 DPA). Assistance judiciaire (art. 64 LTF).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janvier 2010;</w:t>
      </w:r>
    </w:p>
    <w:p>
      <w:r>
        <w:t>les éléments découverts à ces occasions ne pouvant accréditer la version du plaignant, le mandat de répression lui a été notifié le 1er février 2010;</w:t>
      </w:r>
    </w:p>
    <w:p>
      <w:r>
        <w:t>- 4 -</w:t>
      </w:r>
    </w:p>
    <w:p>
      <w:r>
        <w:t>l’argument invoqué par le plaignant était donc connu de l’OFCOM tant au moment où il a notifié le mandat de répression le 1er février 2010 que lors- qu’il a statué dans sa décision sur révision deux ans plus tard, de sorte qu’il ne peut être admis comme motif de révision;</w:t>
      </w:r>
    </w:p>
    <w:p>
      <w:r>
        <w:t>c’est donc à bon droit que l’OFCOM a rejeté la demande de révision;</w:t>
      </w:r>
    </w:p>
    <w:p>
      <w:r>
        <w:t>il en résulte que la plainte doit être rejetée;</w:t>
      </w:r>
    </w:p>
    <w:p>
      <w:r>
        <w:t>dans la mesure où celle-ci était d’emblée mal fondée, il a été renoncé à procéder à un échange d’écriture (art. 57 al. 1 PA par analogie);</w:t>
      </w:r>
    </w:p>
    <w:p>
      <w:r>
        <w:t>le plaignant a sollicité l’assistance judiciaire;</w:t>
      </w:r>
    </w:p>
    <w:p>
      <w:r>
        <w:t>celle-ci ne peut cependant être octroyée que si une partie ne dispose pas de ressources suffisantes et si ses conclusions ne paraissent pas vouées à l’échec (art. 64 al. 1 LTF applicable par analogie);</w:t>
      </w:r>
    </w:p>
    <w:p>
      <w:r>
        <w:t>dans la mesure où la plainte était d’emblée mal fondée, le plaignant ne peut se voir octroyer l’assistance judiciaire;</w:t>
      </w:r>
    </w:p>
    <w:p>
      <w:r>
        <w:t>en tant que partie qui succombe, le plaignant supportera un émolument, le- quel est en l’occurrence fixé à CHF 150.-- (art. 73 LOAP applicable par ren- voi de l’art. 25 al. 4 DPA; art. 5 et 8 du règlement du Tribunal pénal fédéral du 31 août 2010 sur les frais, émoluments, dépens et indemnités de la pro- cédure pénale fédérale; RS 173.713.162).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