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BV.2012.11 vom 13. August 2013</w:t>
      </w:r>
    </w:p>
    <w:p>
      <w:r>
        <w:t>Bundesstrafgericht, 2013-08-13, IT</w:t>
      </w:r>
    </w:p>
    <w:p>
      <w:r>
        <w:rPr>
          <w:b/>
        </w:rPr>
        <w:t xml:space="preserve">Quelle: </w:t>
      </w:r>
      <w:r>
        <w:t>https://mcp.opencaselaw.ch/entscheid/bstger_BV.2012.11</w:t>
      </w:r>
    </w:p>
    <w:p>
      <w:r>
        <w:t>FR: TPF BV.2012.11 du 13 août 2013</w:t>
      </w:r>
    </w:p>
    <w:p>
      <w:r>
        <w:t>IT: TPF BV.2012.11 del 13 agosto 2013</w:t>
      </w:r>
    </w:p>
    <w:p>
      <w:pPr>
        <w:pStyle w:val="Heading2"/>
      </w:pPr>
      <w:r>
        <w:t>Regeste</w:t>
      </w:r>
    </w:p>
    <w:p>
      <w:r>
        <w:t>Sequestro (art. 46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dal ruolo.</w:t>
      </w:r>
    </w:p>
    <w:p>
      <w:r>
        <w:rPr>
          <w:b/>
        </w:rPr>
        <w:t>E. 2</w:t>
      </w:r>
    </w:p>
    <w:p>
      <w:r>
        <w:t>Non vengono prelevate spese. La cassa del Tribunale penale federale restituirà alla reclamante l'anticipo delle spese già versato pari a fr. 1'500.--.</w:t>
      </w:r>
    </w:p>
    <w:p>
      <w:r>
        <w:rPr>
          <w:b/>
        </w:rPr>
        <w:t>E. 3</w:t>
      </w:r>
    </w:p>
    <w:p>
      <w:r>
        <w:t>L'Amministrazione federale delle contribuzioni verserà alla reclamante un importo di fr. 1'000.-- a titolo di ripetibili.</w:t>
      </w:r>
    </w:p>
    <w:p>
      <w:r>
        <w:t>Bellinzona, 14 agosto 2013</w:t>
      </w:r>
    </w:p>
    <w:p>
      <w:r>
        <w:t>In nome della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a: - Avv. Cesare Lepori - Amministrazione federale delle contribuzioni</w:t>
      </w:r>
    </w:p>
    <w:p>
      <w:r>
        <w:t>Informazione sui rimedi giuridici Le decisioni della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