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BV.2011.5 vom 22. März 2011</w:t>
      </w:r>
    </w:p>
    <w:p>
      <w:r>
        <w:t>Bundesstrafgericht, 2011-03-22, FR</w:t>
      </w:r>
    </w:p>
    <w:p>
      <w:r>
        <w:rPr>
          <w:b/>
        </w:rPr>
        <w:t xml:space="preserve">Quelle: </w:t>
      </w:r>
      <w:r>
        <w:t>https://mcp.opencaselaw.ch/entscheid/bstger_BV.2011.5</w:t>
      </w:r>
    </w:p>
    <w:p>
      <w:r>
        <w:t>FR: TPF BV.2011.5 du 22 mars 2011</w:t>
      </w:r>
    </w:p>
    <w:p>
      <w:r>
        <w:t>IT: TPF BV.2011.5 del 22 marzo 2011</w:t>
      </w:r>
    </w:p>
    <w:p>
      <w:pPr>
        <w:pStyle w:val="Heading2"/>
      </w:pPr>
      <w:r>
        <w:t>Regeste</w:t>
      </w:r>
    </w:p>
    <w:p>
      <w:r>
        <w:t>Production de documents (art. 26 en lien avec l'art. 46 DPA). Effet suspensif (art. 28 al. 5 DPA).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Les dossiers des causes sont transmis au Directeur de l’Administration fédé- rale des contributions en sa qualité d’autorité compétente pour statuer sur les conclusions de la recourante.</w:t>
      </w:r>
    </w:p>
    <w:p>
      <w:r>
        <w:rPr>
          <w:b/>
        </w:rPr>
        <w:t>E. 4</w:t>
      </w:r>
    </w:p>
    <w:p>
      <w:r>
        <w:t>La présente décision est rendue sans frais.</w:t>
      </w:r>
    </w:p>
    <w:p>
      <w:r>
        <w:rPr>
          <w:b/>
        </w:rPr>
        <w:t>E. 5</w:t>
      </w:r>
    </w:p>
    <w:p>
      <w:r>
        <w:t>Il n’est pas alloué de dépens.</w:t>
      </w:r>
    </w:p>
    <w:p>
      <w:r>
        <w:t>Bellinzone, le 22 mars 2011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Me Jean-Marc Carnicé, avocat - Administration fédérale des contributions</w:t>
      </w:r>
    </w:p>
    <w:p>
      <w:r>
        <w:t>Indication des voies de recours Il n’existe pas de voie de recours ordinaire contre cet arrêt.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