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BV.2011.29 vom 20. Dezember 2011</w:t>
      </w:r>
    </w:p>
    <w:p>
      <w:r>
        <w:t>Bundesstrafgericht, 2011-12-20, FR</w:t>
      </w:r>
    </w:p>
    <w:p>
      <w:r>
        <w:rPr>
          <w:b/>
        </w:rPr>
        <w:t xml:space="preserve">Quelle: </w:t>
      </w:r>
      <w:r>
        <w:t>https://mcp.opencaselaw.ch/entscheid/bstger_BV.2011.29</w:t>
      </w:r>
    </w:p>
    <w:p>
      <w:r>
        <w:t>FR: TPF BV.2011.29 du 20 décembre 2011</w:t>
      </w:r>
    </w:p>
    <w:p>
      <w:r>
        <w:t>IT: TPF BV.2011.29 del 20 dicembre 2011</w:t>
      </w:r>
    </w:p>
    <w:p>
      <w:pPr>
        <w:pStyle w:val="Heading2"/>
      </w:pPr>
      <w:r>
        <w:t>Regeste</w:t>
      </w:r>
    </w:p>
    <w:p>
      <w:r>
        <w:t>Séquestre (art. 46 DPA), effet suspensif (art. 28 al. 2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procédure est rayée du rôle.</w:t>
      </w:r>
    </w:p>
    <w:p>
      <w:r>
        <w:rPr>
          <w:b/>
        </w:rPr>
        <w:t>E. 2</w:t>
      </w:r>
    </w:p>
    <w:p>
      <w:r>
        <w:t>La demande d’effet suspensif est devenue sans objet.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Une indemnité réduite de Fr. 1’500.-- (TVA comprise), mise à la charge de l’Administration fédérale des douanes, est allouée à la plaignante, à titre de dé- pens.</w:t>
      </w:r>
    </w:p>
    <w:p>
      <w:r>
        <w:t>Bellinzone, le 20 décembre 2011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Michel Jaccard, avocat - Administration fédérale des douanes, direction d’arrondissement Genève - Administration fédérale des douanes</w:t>
      </w:r>
    </w:p>
    <w:p>
      <w:r>
        <w:t>Indication des voies de recours Dans les 30 jours qui suivent leur notification, les décisions de la Ire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