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BV.2011.24 vom 13. September 2011</w:t>
      </w:r>
    </w:p>
    <w:p>
      <w:r>
        <w:t>Bundesstrafgericht, 2011-09-13, FR</w:t>
      </w:r>
    </w:p>
    <w:p>
      <w:r>
        <w:rPr>
          <w:b/>
        </w:rPr>
        <w:t xml:space="preserve">Quelle: </w:t>
      </w:r>
      <w:r>
        <w:t>https://mcp.opencaselaw.ch/entscheid/bstger_BV.2011.24</w:t>
      </w:r>
    </w:p>
    <w:p>
      <w:r>
        <w:t>FR: TPF BV.2011.24 du 13 septembre 2011</w:t>
      </w:r>
    </w:p>
    <w:p>
      <w:r>
        <w:t>IT: TPF BV.2011.24 del 13 settembre 2011</w:t>
      </w:r>
    </w:p>
    <w:p>
      <w:pPr>
        <w:pStyle w:val="Heading2"/>
      </w:pPr>
      <w:r>
        <w:t>Regeste</w:t>
      </w:r>
    </w:p>
    <w:p>
      <w:r>
        <w:t>Perquisition (art. 48 s.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Un émolument de Fr. 200.-- est mis à la charge du plaignant.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Bellinzone, le 13 septembre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Daniel Udry, avocat - Administration fédérale des contributions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