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BV.2011.18 vom 13. Dezember 2011</w:t>
      </w:r>
    </w:p>
    <w:p>
      <w:r>
        <w:t>Bundesstrafgericht, 2011-12-13, DE</w:t>
      </w:r>
    </w:p>
    <w:p>
      <w:r>
        <w:rPr>
          <w:b/>
        </w:rPr>
        <w:t xml:space="preserve">Quelle: </w:t>
      </w:r>
      <w:r>
        <w:t>https://mcp.opencaselaw.ch/entscheid/bstger_BV.2011.18</w:t>
      </w:r>
    </w:p>
    <w:p>
      <w:r>
        <w:t>FR: TPF BV.2011.18 du 13 décembre 2011</w:t>
      </w:r>
    </w:p>
    <w:p>
      <w:r>
        <w:t>IT: TPF BV.2011.18 del 13 dicembre 2011</w:t>
      </w:r>
    </w:p>
    <w:p>
      <w:pPr>
        <w:pStyle w:val="Heading2"/>
      </w:pPr>
      <w:r>
        <w:t>Regeste</w:t>
      </w:r>
    </w:p>
    <w:p>
      <w:r>
        <w:t>Amtshandlung (Art. 27 Abs. 1 und 3 VStrR).</w:t>
      </w:r>
    </w:p>
    <w:p>
      <w:pPr>
        <w:pStyle w:val="Heading2"/>
      </w:pPr>
      <w:r>
        <w:t>Erwägungen</w:t>
      </w:r>
    </w:p>
    <w:p>
      <w:r>
        <w:rPr>
          <w:b/>
        </w:rPr>
        <w:t>E. 18</w:t>
      </w:r>
    </w:p>
    <w:p>
      <w:r>
        <w:t>Februar 2011.</w:t>
      </w:r>
    </w:p>
    <w:p>
      <w:r>
        <w:t>3.3 A. bringt gegen den Schlussbericht schliesslich vor, dieser sei seinem Ver- teidiger am 18. Februar 2011 persönlich in Y. ausgehändigt worden, um zu verhindern, dass die in Aussicht gestellten Beweisanträge hätten gestellt werden können (act. 1, S. 7).</w:t>
      </w:r>
    </w:p>
    <w:p>
      <w:r>
        <w:t>Der Verteidiger von A. wurde bereits im Mai 2010 darüber informiert, dass die Untersuchung kurz vor dem Abschluss stehe, womit implizit gesagt war, dass der Schlussbericht bald ergehen würde (vgl. act. 6.11 und 6.12). Dass</w:t>
      </w:r>
    </w:p>
    <w:p>
      <w:r>
        <w:t>- 9 -</w:t>
      </w:r>
    </w:p>
    <w:p>
      <w:r>
        <w:t>in diesem Verfahrenskomplex ein baldiger Abschluss des Verfahrens zu ergehen hat, wurde sodann auch im Entscheid des Bundesstrafgerichts BV.2009.8 vom 30. März 2009, E. 3.2, festgehalten. Dokumente, welche belegen würden, dass A. der Beschwerdegegnerin mitgeteilt habe, er wür- de bis Ende Februar 2011 noch Beweisanträge stellen, liegen keine vor. Unter diesen Umständen kann keineswegs von einer voreiligen Über- mittlung des Schlussberichts gesprochen werden; ebenso wenig liegen An- haltspunkte für ein missbräuchliches Verhalten der Beschwerdegegnerin betreffend dessen Zustellung vor.</w:t>
      </w:r>
    </w:p>
    <w:p>
      <w:r>
        <w:t>3.4 Insgesamt ergibt sich aus den obigen Ausführungen, dass der fragliche Schlussbericht vom 18. Februar 2011 (act. 6.1) unter Wahrung der Verfah- rensrechte von A. zustande gekommen ist und an keinen Mängeln leidet, welche dessen Gültigkeit in Frage stellen würden. Der Umstand, dass ein- zelne Lehrmeinungen sich kritisch zur geltenden Gesetzessituation äus- sern, vermag die klare Rechtslage von Art. 193 Abs. 4 DBG nicht umzu- stossen. Eine Säumnis seitens der Beschwerdegegnerin ist ebenfalls nicht ersichtlich. Nach dem Gesagten liegt ein gültiger Schlussbe- richt im Sinne von Art. 193 DBG vor. Gegen einen solchen und gegen die Ablehnung von Ergänzungsanträgen ist gemäss Art. 193 Abs. 4 DBG kein Rechtsmittel gegeben, so dass kein Raum für die Anwendung von Art. 27 VStrR besteht.</w:t>
      </w:r>
    </w:p>
    <w:p>
      <w:r>
        <w:t>4. A. stellt in seiner Replik vom 8. August 2011 für den Fall, dass der Bericht vom 18. Februar 2011 als Schlussbericht im Sinne von Art. 193 DBG quali- fiziert werde, den Antrag, es sei ihm die Möglichkeit einzuräumen, innert 30 Tagen seit Zustellung des Urteils des Bundesstrafgerichts weitere Beweis- anträge zu stellen, so wie dies in Art. 193 Abs. 3 DBG vorgesehen sei (act. 10, S. 7).</w:t>
      </w:r>
    </w:p>
    <w:p>
      <w:r>
        <w:t>Dieser Antrag befremdet, hat doch A. mit der Eingabe vom 21. März 2011 an die ESTV bereits eine ausführliche Stellungnahme zum Schlussbericht eingereicht und diverse Anträge gestellt. Er selbst bezeichnete dieses Do- kument als „Stellungnahme im Sinne von Art. 193 Abs. 3 DBG“ (act. 16). Auch in der Beschwerde vom 3. Mai 2011 an den Direktor der ESTV be- nutzte er regelmässig den Begriff „Schlussbericht“ (act. 14) und nicht „an- geblicher Schlussbericht“, wie in der Beschwerde vom 16. Juni 2011 (act. 1). Zudem enthielt der Schlussbericht einen eindeutigen Hinweis auf das Recht von A., sich innert dreissig Tagen dazu zu äussern und Anträge auf Ergänzung der Untersuchung zu stellen (act. 6.1, Bericht KV, S. 79). A. kann sich somit heute nicht neu auf den Standpunkt stellen, er sei sich</w:t>
      </w:r>
    </w:p>
    <w:p>
      <w:r>
        <w:t>- 10 -</w:t>
      </w:r>
    </w:p>
    <w:p>
      <w:r>
        <w:t>nicht bewusst gewesen, dass der Bericht vom 18. Februar 2011 einen Schlussbericht im Sinne von Art. 193 DBG darstelle, und habe die ihm dar- aus zustehenden Rechte nicht geltend machen können. Auf die Be- schwerde ist demnach auch in diesem Punkt nicht einzutreten.</w:t>
      </w:r>
    </w:p>
    <w:p>
      <w:r>
        <w:t>5. Nach dem Gesagten ist auf die Beschwerde insgesamt nicht einzutreten. Das Verfahren betreffend das mit der Beschwerde gestellte Gesuch um Gewährung der aufschiebenden Wirkung ist demnach zufolge Gegen- standslosigkeit von der Geschäftskontrolle abzuschreiben.</w:t>
      </w:r>
    </w:p>
    <w:p>
      <w:r>
        <w:t>6. Gemäss Art. 25 Abs. 4 VStrR richtet sich die Kostenpflicht im Beschwerde- verfahren vor der I. Beschwerdekammer nach Art. 73 StBOG, wobei dieser seinerseits auf das Reglement des Bundesstrafgerichts vom 31. Au- gust 2010 über die Kosten, Gebühren und Entschädigungen in Bundes- strafverfahren verweist (BStKR; SR 173.713.162). Da dem BStKR jedoch keine Regelung über die Verteilung der Gerichtskosten zu entnehmen ist, ist ergänzend die Regelung des BGG anzuwenden, was auch der bisheri- gen gesetzlichen Regelung entspricht (siehe dazu beispielsweise den Ent- scheid des Bundesstrafgerichts BV.2010.79 vom 10. Dezember 2010). Als unterliegende Partei haben somit die Beschwerdeführer die Kosten zu tra- gen (Art. 66 Abs. 1 BGG analog). Die Gerichtsgebühr wird auf Fr. 1'500.-- festgesetzt (Art. 5 und 8 Abs. 1 BStKR), unter Anrechung des geleisteten Kostenvorschusses in gleicher Höhe.</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