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BV.2011.15 vom 22. Juni 2011</w:t>
      </w:r>
    </w:p>
    <w:p>
      <w:r>
        <w:t>Bundesstrafgericht, 2011-06-22, IT</w:t>
      </w:r>
    </w:p>
    <w:p>
      <w:r>
        <w:rPr>
          <w:b/>
        </w:rPr>
        <w:t xml:space="preserve">Quelle: </w:t>
      </w:r>
      <w:r>
        <w:t>https://mcp.opencaselaw.ch/entscheid/bstger_BV.2011.15</w:t>
      </w:r>
    </w:p>
    <w:p>
      <w:r>
        <w:t>FR: TPF BV.2011.15 du 22 juin 2011</w:t>
      </w:r>
    </w:p>
    <w:p>
      <w:r>
        <w:t>IT: TPF BV.2011.15 del 22 giugno 2011</w:t>
      </w:r>
    </w:p>
    <w:p>
      <w:pPr>
        <w:pStyle w:val="Heading2"/>
      </w:pPr>
      <w:r>
        <w:t>Regeste</w:t>
      </w:r>
    </w:p>
    <w:p>
      <w:r>
        <w:t>Sequestro (art. 46 e seg. DPA).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febbraio 2011; BV.2010.78 del 28 gennaio 2011, consid. 3);</w:t>
      </w:r>
    </w:p>
    <w:p>
      <w:r>
        <w:t>- il giudice dell’istruzione stabilisce un congruo termine per il versamento dell’anticipo o la prestazione delle garanzie. Se il termine scade infrut- tuoso, impartisce un termine suppletorio. Se l’anticipo non è versato o le garanzie non sono prestate nemmeno nel termine suppletorio, la I Corte dei reclami penali non entra nel merito dell’istanza (art. 62 cpv. 3 LTF per analogia);</w:t>
      </w:r>
    </w:p>
    <w:p>
      <w:r>
        <w:t>- nella fattispecie la A. S.r.l. non ha dato seguito ai tre inviti a versare l’anticipo delle spese processuali inviatigli dal TPF (v. act. 3-5, 8);</w:t>
      </w:r>
    </w:p>
    <w:p>
      <w:r>
        <w:t>- il reclamo è di riflesso irricevibile (art. 62 cpv. 3 LTF per analogia);</w:t>
      </w:r>
    </w:p>
    <w:p>
      <w:r>
        <w:t>- pertanto delle spese giudiziarie di fr. 500.-- sono poste a carico della reclamante (art. 66 cvp. 1 LTF in relazione con gli art. 5 e 8 cpv. 1 RSPPF);</w:t>
      </w:r>
    </w:p>
    <w:p>
      <w:r>
        <w:t>- 4 -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