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BV.2010.79 vom 10. Dezember 2010</w:t>
      </w:r>
    </w:p>
    <w:p>
      <w:r>
        <w:t>Bundesstrafgericht, 2010-12-10, DE</w:t>
      </w:r>
    </w:p>
    <w:p>
      <w:r>
        <w:rPr>
          <w:b/>
        </w:rPr>
        <w:t xml:space="preserve">Quelle: </w:t>
      </w:r>
      <w:r>
        <w:t>https://mcp.opencaselaw.ch/entscheid/bstger_BV.2010.79</w:t>
      </w:r>
    </w:p>
    <w:p>
      <w:r>
        <w:t>FR: TPF BV.2010.79 du 10 décembre 2010</w:t>
      </w:r>
    </w:p>
    <w:p>
      <w:r>
        <w:t>IT: TPF BV.2010.79 del 10 dicembre 2010</w:t>
      </w:r>
    </w:p>
    <w:p>
      <w:pPr>
        <w:pStyle w:val="Heading2"/>
      </w:pPr>
      <w:r>
        <w:t>Regeste</w:t>
      </w:r>
    </w:p>
    <w:p>
      <w:r>
        <w:t>Beschlagnahme (Art. 46 VStrR).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Dezember 1998 über Glücksspiele und Spielbanken (Spielbankenge- setz, SBG; SR 935.52) geführten Strafuntersuchung das am 4. November 2010 bei A. sichergestellte Bargeld im Betrag von Fr. 830.-- sowie eine Reihe diverser Spielchips beschlagnahmte (act. 1.1);</w:t>
      </w:r>
    </w:p>
    <w:p>
      <w:r>
        <w:t>- A. hiergegen am 26. November 2010 beim Direktor der ESBK Beschwerde einreichte, mit welcher er in materieller Hinsicht die Rückerstattung der be- schlagnahmten Fr. 830.-- verlangte (act. 1);</w:t>
      </w:r>
    </w:p>
    <w:p>
      <w:r>
        <w:t>- der Direktor der ESBK die Beschwerde am 1. Dezember 2010 mitsamt sei- ner Stellungnahme, in welcher er auf kostenfällige Abweisung der Be- schwerde schloss, an die I. Beschwerdekammer des Bundesstrafgerichts weiterleitete (act. 2);</w:t>
      </w:r>
    </w:p>
    <w:p>
      <w:r>
        <w:t>- A. seine Beschwerde mit Eingabe vom 9. Dezember 2010 zurückzog (act. 6);</w:t>
      </w:r>
    </w:p>
    <w:p>
      <w:r>
        <w:t>- gemäss Art. 30 lit. a SGG i.V.m. Art. 25 Abs. 4 VStrR i.V.m. Art. 62 ff. und 71 BGG i.V.m. Art. 73 Abs. 1 BZP die Rückzugserklärung (Abstand) den Rechtsstreit beendet;</w:t>
      </w:r>
    </w:p>
    <w:p>
      <w:r>
        <w:t>- das Verfahren demnach zufolge Rückzugs der Beschwerde als erledigt von der Geschäftskontrolle abgeschrieben werden kann, wobei der den Ab- stand erklärende Beschwerdeführer als unterliegende Partei gilt und des- halb die Gerichtskosten zu tragen hat (Art. 25 Abs. 4 VStrR i.V.m. Art. 66 Abs. 1 BGG);</w:t>
      </w:r>
    </w:p>
    <w:p>
      <w:r>
        <w:t>- die Gerichtsgebühr für das vorliegende Verfahren auf das reglementarisch vorgesehene Minimum von Fr. 200.-- festgesetzt wird (Art. 3 des Regle- ments vom 11. Februar 2004 über die Gerichtsgebühren vor dem Bundes- strafgericht; SR 173.711.32);</w:t>
      </w:r>
    </w:p>
    <w:p>
      <w:r>
        <w:t>- 3 -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